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C" w:rsidRPr="00D914E9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</w:pPr>
      <w:bookmarkStart w:id="0" w:name="_Toc451855553"/>
      <w:bookmarkStart w:id="1" w:name="_Toc451858270"/>
      <w:bookmarkStart w:id="2" w:name="_Toc451858784"/>
      <w:bookmarkStart w:id="3" w:name="_Toc466903377"/>
      <w:r w:rsidRPr="00D914E9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  <w:t xml:space="preserve">Załącznik nr 1 do OPZ </w:t>
      </w:r>
      <w:r w:rsidR="00D914E9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  <w:t>po zmianie z dnia 2</w:t>
      </w:r>
      <w:r w:rsidR="00EB23BE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  <w:t>4</w:t>
      </w:r>
      <w:r w:rsidR="00D914E9">
        <w:rPr>
          <w:rFonts w:ascii="Myriad Pro Light SemiExt" w:eastAsia="Calibri" w:hAnsi="Myriad Pro Light SemiExt" w:cs="Arial"/>
          <w:b/>
          <w:i/>
          <w:color w:val="FF0000"/>
          <w:sz w:val="24"/>
          <w:szCs w:val="24"/>
        </w:rPr>
        <w:t>.01.2020 r.</w:t>
      </w:r>
    </w:p>
    <w:bookmarkEnd w:id="0"/>
    <w:bookmarkEnd w:id="1"/>
    <w:bookmarkEnd w:id="2"/>
    <w:bookmarkEnd w:id="3"/>
    <w:p w:rsidR="00D3492C" w:rsidRPr="00796A2F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w ramach </w:t>
      </w:r>
      <w:r w:rsidR="00552285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poszczególnych </w:t>
      </w:r>
      <w:r w:rsidR="00765767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zamówień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 w:rsidRPr="00796A2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Pr="00796A2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 </w:t>
      </w:r>
    </w:p>
    <w:p w:rsidR="00765767" w:rsidRPr="00796A2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opracowanie dokumentacji projektowej stanowiska do bezodbiciowego badania pól elektromagnetycznych od urządzeń i systemów techniki morskiej wraz z dostawą, montażem, uruchomieniem stanowiska </w:t>
      </w:r>
      <w:r w:rsidR="00712430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</w:t>
      </w:r>
    </w:p>
    <w:p w:rsidR="00765767" w:rsidRPr="00796A2F" w:rsidRDefault="00765767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</w:pPr>
    </w:p>
    <w:p w:rsidR="000409AF" w:rsidRPr="00796A2F" w:rsidRDefault="000409AF" w:rsidP="0076576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u w:val="single"/>
          <w:lang w:eastAsia="pl-PL"/>
        </w:rPr>
        <w:t>Zadanie nr 1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obejmuje swoim zakresem 3</w:t>
      </w:r>
      <w:r w:rsidR="00CC184B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(trzy) części</w:t>
      </w:r>
      <w:r w:rsidR="00765767"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 w podziale na „zamówienia gwarantowane” i „zamówienia opcjonalne” </w:t>
      </w:r>
      <w:r w:rsidRPr="00796A2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, tj.:</w:t>
      </w:r>
    </w:p>
    <w:p w:rsidR="000409AF" w:rsidRPr="00796A2F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</w:p>
    <w:p w:rsidR="00D3492C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komora </w:t>
      </w:r>
      <w:proofErr w:type="spellStart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semi-bezodbiciowa</w:t>
      </w:r>
      <w:proofErr w:type="spellEnd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(</w:t>
      </w:r>
      <w:proofErr w:type="spellStart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>sac</w:t>
      </w:r>
      <w:proofErr w:type="spellEnd"/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 10m) wraz ze zbiornikiem pomiarowym</w:t>
      </w:r>
    </w:p>
    <w:p w:rsidR="00765767" w:rsidRPr="00796A2F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796A2F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796A2F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796A2F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komora </w:t>
            </w:r>
            <w:proofErr w:type="spellStart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semi-bezodbiciowa</w:t>
            </w:r>
            <w:proofErr w:type="spellEnd"/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(SAC 10M) przeznaczona do  pomiarów emisji oraz testów odporności,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  aktualnych norm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  oraz NO-06-A200/A500,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  aktualnej normy  EN 61000-4-3,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 oraz  NO-06-A200/A500 ,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elektryczne,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pracujące w środowisku wodnym,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796A2F" w:rsidRPr="00B12F05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A97B84" w:rsidRPr="00796A2F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A97B84" w:rsidRPr="00796A2F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796A2F" w:rsidRPr="00796A2F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796A2F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796A2F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Gabaryty komory (zewnętrzne  wymiary ekranu 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B23BE" w:rsidRPr="00D179D9" w:rsidRDefault="00EB23BE" w:rsidP="00B12F05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hAnsi="Myriad Pro Light SemiExt"/>
                <w:b/>
                <w:color w:val="FF000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max wymiary (zewnętrzny wymiar ekranu): 22m x 13,0m x </w:t>
            </w:r>
            <w:r w:rsidRPr="00A05C9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9,1</w:t>
            </w: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m,  wynikający z projektu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Budowa hali laboratoryjnej i stanowiska do badań pól magnetycznych wraz z niezbędną infrastrukturą te</w:t>
            </w:r>
            <w:r w:rsidRPr="00D179D9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chniczną”. </w:t>
            </w:r>
            <w:r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Jednocześnie określa się m</w:t>
            </w:r>
            <w:r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inimalne wymiary wewnętrzne komory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(mierzony pomiędzy największymi absorberami ściennymi z nakładkam</w:t>
            </w:r>
            <w:bookmarkStart w:id="4" w:name="_GoBack"/>
            <w:bookmarkEnd w:id="4"/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i oraz największym absorberem sufitowym z nakładka a podłogą podniesioną) na 19,2m x 10,2m x 7</w:t>
            </w:r>
            <w:r w:rsidRPr="00D179D9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m.</w:t>
            </w:r>
          </w:p>
          <w:p w:rsidR="00EB23BE" w:rsidRPr="00796A2F" w:rsidRDefault="00EB23BE" w:rsidP="00EB23BE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t>Uwaga:</w:t>
            </w:r>
          </w:p>
          <w:p w:rsidR="00A97B84" w:rsidRPr="00796A2F" w:rsidRDefault="00EB23BE" w:rsidP="00EB23BE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796A2F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Rozwiązania projektowe zewnętrznej konstrukcji  wsporczej oraz innych elementów zewnętrznych mocowanych na konstrukcji muszą być uzgodnione z Wykonawcą dokumentacji projektowej dla zadania „</w:t>
            </w:r>
            <w:r w:rsidRPr="00796A2F">
              <w:rPr>
                <w:rFonts w:ascii="Myriad Pro Light SemiExt" w:hAnsi="Myriad Pro Light SemiExt" w:cs="Arial"/>
                <w:sz w:val="20"/>
                <w:szCs w:val="20"/>
              </w:rPr>
              <w:t>Budowa hali laboratoryjnej i stanowiska do badań pól magnetycznych wraz z niezbędną infrastrukturą techniczną”.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  <w:r w:rsidR="00657D24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  <w:p w:rsidR="00271B84" w:rsidRPr="00EB23BE" w:rsidRDefault="00271B84" w:rsidP="003D747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Zwraca się uwagę, iż </w:t>
            </w:r>
            <w:r w:rsidR="003D7471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na klasę odporności pożarowej obiektu (w którym będzie umieszczona komora) w części jednokondygnacyjnej ZLIII: 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D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Konstrukcja i 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konstrukcja wykonana ze stalowych paneli obustronnie cynkowanych i zabezpieczonych antykorozyjnie,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podniesiona do 50cm  (poziom podłogi w komorze na poziomie posadzki laboratorium z uwzględnieniem możliwości zamknięcia drzwi do komory). Wysokość podniesienia musi umożliwiać zabudowę infrastruktur kablowej i silnika stołu obrotowego znajdujących się pod ww. 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A97B84" w:rsidRPr="00EB23BE" w:rsidRDefault="00A97B84" w:rsidP="00AA595D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both"/>
              <w:rPr>
                <w:rFonts w:ascii="Myriad Pro Light SemiExt" w:hAnsi="Myriad Pro Light SemiExt"/>
                <w:sz w:val="20"/>
                <w:szCs w:val="20"/>
              </w:rPr>
            </w:pPr>
            <w:r w:rsidRPr="00EB23BE">
              <w:rPr>
                <w:rFonts w:ascii="Myriad Pro Light SemiExt" w:hAnsi="Myriad Pro Light SemiExt"/>
                <w:sz w:val="20"/>
                <w:szCs w:val="20"/>
              </w:rPr>
              <w:t>Dopuszcza zastosowanie Lamp LED  (</w:t>
            </w:r>
            <w:r w:rsidRPr="00EB23BE">
              <w:rPr>
                <w:rFonts w:ascii="Myriad Pro Light SemiExt" w:hAnsi="Myriad Pro Light SemiExt"/>
                <w:bCs/>
                <w:sz w:val="20"/>
                <w:szCs w:val="20"/>
              </w:rPr>
              <w:t>gwarantujących, że nie będą zaburzać pomiarów emisji urządzeń wg. standardu TEMPEST)</w:t>
            </w:r>
            <w:r w:rsidRPr="00EB23BE">
              <w:rPr>
                <w:rFonts w:ascii="Myriad Pro Light SemiExt" w:hAnsi="Myriad Pro Light SemiExt"/>
                <w:sz w:val="20"/>
                <w:szCs w:val="20"/>
              </w:rPr>
              <w:t xml:space="preserve"> w ilości sztuk 4  na osobnym włączniku oraz przewodzie zasilającym wraz z min. 8 lampami halogenowymi na osobnym włączniku oraz przewodzie zasilającym. Lampy </w:t>
            </w:r>
            <w:r w:rsidRPr="00EB23BE">
              <w:rPr>
                <w:rFonts w:ascii="Myriad Pro Light SemiExt" w:hAnsi="Myriad Pro Light SemiExt"/>
                <w:sz w:val="20"/>
                <w:szCs w:val="20"/>
              </w:rPr>
              <w:lastRenderedPageBreak/>
              <w:t>LED oraz Halogenowe muszą pracować niezależnie od siebie.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2m ÷ 2,2m – wysokość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EB23BE" w:rsidRDefault="00A97B84" w:rsidP="00AA595D">
            <w:pPr>
              <w:keepNext/>
              <w:autoSpaceDE w:val="0"/>
              <w:autoSpaceDN w:val="0"/>
              <w:adjustRightInd w:val="0"/>
              <w:spacing w:after="240"/>
              <w:jc w:val="both"/>
              <w:rPr>
                <w:rFonts w:ascii="Myriad Pro Light SemiExt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hAnsi="Myriad Pro Light SemiExt"/>
                <w:sz w:val="20"/>
                <w:szCs w:val="20"/>
              </w:rPr>
              <w:t>Dopuszcza się  możliwość zastosowania drzwi</w:t>
            </w:r>
            <w:r w:rsidRPr="00EB23BE">
              <w:rPr>
                <w:rFonts w:ascii="Myriad Pro Light SemiExt" w:hAnsi="Myriad Pro Light SemiExt" w:cs="Arial"/>
                <w:sz w:val="20"/>
                <w:szCs w:val="20"/>
              </w:rPr>
              <w:t xml:space="preserve"> skrzydłowych dwunożowych z podwójnym rzędem uszczelek, z zastrzeżeniem, iż muszą być spełnione pozostałe wymagania do drzwi zgodnie z wymaganiami opisu.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drzwi,  który umożliwi integrację ze wzmacniaczami w pomieszczeniu AR/CR i ich wyłączenie w przypadku otwarcia drzwi. Przewody sygnału kontroli otwartych drzwi  muszą być wprowadzone do pomieszczenia AR/CR w sposób szczelny elektromagnetycznie,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3m ÷ 3,5m - szerokość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Podane powyżej wymiary dotyczą światła drzwi.</w:t>
            </w:r>
          </w:p>
          <w:p w:rsidR="00A97B84" w:rsidRPr="00EB23BE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Dopuszcza się możliwość instalacji drzwi przesuwnych. Możliwość zastosowania tego rozwiązanie nie może skutkować koniecznością zmian konstrukcji budynku laboratorium (np. filarów nośnych – ich lokalizacja </w:t>
            </w:r>
            <w:r w:rsidR="003401D6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według dokumentacji budowlanej budynku znajduje się w bliskiej odległości od skrajni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drogi wjazdu do budynku i komory).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 średnicy min. 5m,  max. 5,5m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stołu wraz z oprogramowaniem, wyposażony w interfejs  umożliwiający jego zdalną obsługę,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400V/100A, gniazdo DC).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 z tolerancją do kilku procent wynikająca z zapisów odpowiednich Norm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  i wysokości 80cm z tolerancją do kilku procent wynikająca z zapisów odpowiednich Norm,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adaptery do zamocowania wszystkich anten na maszcie,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Wykonanie zgodnie z wymaganiami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pion/poziom min 40x zoomem optycznym. Dopuszcza się zoom x 30 przy pracy kamery w standardzie Full-HD,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zasilanie sieciowe 230V.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1638" w:rsidRPr="00EB23BE" w:rsidRDefault="00271638" w:rsidP="00271638">
            <w:pPr>
              <w:spacing w:after="0" w:line="288" w:lineRule="auto"/>
              <w:jc w:val="both"/>
              <w:rPr>
                <w:rFonts w:ascii="Myriad Pro Light SemiExt" w:hAnsi="Myriad Pro Light SemiExt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</w:t>
            </w:r>
            <w:r w:rsidR="00A97B84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wentylacyjnych (40 GHz, min 300mm x 300mm – z tolerancją do 10 % lub większego wymiaru typoszeregu dla paneli - </w:t>
            </w:r>
            <w:r w:rsidR="00A97B84" w:rsidRPr="00EB23BE">
              <w:rPr>
                <w:rFonts w:ascii="Myriad Pro Light SemiExt" w:hAnsi="Myriad Pro Light SemiExt"/>
                <w:bCs/>
                <w:sz w:val="20"/>
                <w:szCs w:val="20"/>
              </w:rPr>
              <w:t>z uwagą, iż całkowita powierzchnia odprowadzenia powietrza musi być identyczna</w:t>
            </w:r>
            <w:r w:rsidR="00A97B84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. </w:t>
            </w:r>
            <w:r w:rsidRPr="00EB23BE">
              <w:rPr>
                <w:rFonts w:ascii="Myriad Pro Light SemiExt" w:hAnsi="Myriad Pro Light SemiExt"/>
                <w:sz w:val="20"/>
                <w:szCs w:val="20"/>
              </w:rPr>
              <w:t>Ilości paneli wentylacyjnych powinna być tak dobrana, aby spełnione były  wymagań środowiskowych w całej przestrzeni komory, tj. Zamawiający wymaga, aby  w komorze zapewnione były warunki z możliwością ich regulacji ( z krokiem 1°C, 1% ), temperatura w przedziale od 15°C do 26°C, wilgotność z przedziału od 15% do 75%, natomiast w pomieszczeniach AR/CR ( możliwość regulacji z krokiem 1°C ) temperatura z przedziału od 18°C do 30°C.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wyposażone w kołnierze umożliwiającego połączenie do instalacji budynku (projekt realizowany przez Wykonawcę dokumentacji projektowej Inwestycji) 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100A, 400V,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16A, 250V,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- 1x  filtr zasilający DC (400VDC / 32A, 2 linie) dla zasilania DC,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Wymaga się całkowitego pokrycia absorberami piramidalnymi ścian i sufitów.</w:t>
            </w:r>
          </w:p>
          <w:p w:rsidR="00A97B84" w:rsidRPr="00EB23BE" w:rsidRDefault="00A97B84" w:rsidP="00AA595D">
            <w:pPr>
              <w:spacing w:before="120" w:after="120"/>
              <w:jc w:val="both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absorbery piramidalne  wykonane z materiału oddającego ciepło (polipropylen, poliuretan). Dopuszcza się stosowania absorberów opartych na innych materiałach np.: na polistyrenie,  pod warunkiem</w:t>
            </w:r>
            <w:r w:rsidR="00D3213C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że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są odpowiednie do spełnienia wymagań norm wskazanych w Części 1, 2, 3 i 4 wymienionych w niniejszym załączniku do OPZ. Zakres pomiarowy emisji promieniowanych od 10kHz do 40GHz (włącznie).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powierzchnia ścian (w tym drzwi) i sufitów pokryta płytką ferrytową (dopuszcza się lokalny brak ferrytów np. w panelach przejściowych i wentylacyjnych, o  ile  nie wpłynie to istotnie na parametry komory, związane z badaniami TEMPEST),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wózki do składowania wszystkich absorberów do ułożenia na podłodze przywołanych powyżej,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TEMPEST)– ilość kompletów: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możliwość rozbudowy o kolejne  2 konwertery,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paneli przejściowych min. 400 mm x 400 mm z przykręconą  płytką i pokrywą ferrytową, – z tolerancją do 10 % lub większego wymiaru typoszeregu dla paneli)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 (w pełni dostępne dla użytkownika):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o średnicy min 50mm,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- 6 zamykanych paneli podłogowych w komorze min 400mm x 400mm,– z tolerancją do 10 % lub większego wymiaru typoszeregu dla paneli)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 (w pełni dostępne dla użytkownika):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 Gniazdo zasilania AC 400V/100A trójfazowe 60Hz,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4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400V/32A, 2 linie DC,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400V/100A, 2 linie DC,</w:t>
            </w:r>
          </w:p>
        </w:tc>
      </w:tr>
      <w:tr w:rsidR="00EB23BE" w:rsidRPr="00EB23BE" w:rsidTr="00AA595D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 i 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- 1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 max 120mm.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 zgodnie z odpowiednimi przepisami w tym zakresie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 Powyższa funkcjonalność powinna mieć  również miejsce w obszarze gazów (np. ozonu).</w:t>
            </w:r>
          </w:p>
          <w:p w:rsidR="000B7011" w:rsidRPr="00EB23BE" w:rsidRDefault="000B7011" w:rsidP="000B7011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Przyjmuje jako podstawową listę gazów: Ozon, CO, CO2, LPG, tlenek azotu. Jednocześnie system detekcji powinien umożliwiać włączenie min. 2 dodatkowych czujników gazów nie wymienionych powyżej.  </w:t>
            </w:r>
          </w:p>
        </w:tc>
      </w:tr>
      <w:tr w:rsidR="00EB23BE" w:rsidRPr="00EB23BE" w:rsidTr="00AA595D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EB23BE" w:rsidRPr="00EB23BE" w:rsidTr="00AA595D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r w:rsidR="0068666A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(w tym automatycznie odcinający dopływ wody do komory po upływie określonego czasu)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zabezpieczający przed zalaniem komory wodą, czujnik wilgotności,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EB23BE" w:rsidRPr="00EB23BE" w:rsidTr="00AA595D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urządzenia zapewniające klimatyzację (stałe warunki atmosferyczne wewnątrz komory oraz pomieszczeniach AR i CR),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ma być niezależna od klimatyzacji budynku laboratorium i umożliwiać niezależną regulację (w tym utrzymanie różnych warunków) w każdym z ww. pomieszczeń.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  <w:p w:rsidR="000A2971" w:rsidRPr="00EB23BE" w:rsidRDefault="000A2971" w:rsidP="000A2971">
            <w:pPr>
              <w:spacing w:after="0" w:line="288" w:lineRule="auto"/>
              <w:jc w:val="both"/>
              <w:rPr>
                <w:rFonts w:ascii="Myriad Pro Light SemiExt" w:hAnsi="Myriad Pro Light SemiExt"/>
                <w:sz w:val="20"/>
                <w:szCs w:val="20"/>
              </w:rPr>
            </w:pPr>
            <w:r w:rsidRPr="00EB23BE">
              <w:rPr>
                <w:rFonts w:ascii="Myriad Pro Light SemiExt" w:hAnsi="Myriad Pro Light SemiExt"/>
                <w:sz w:val="20"/>
                <w:szCs w:val="20"/>
              </w:rPr>
              <w:t>Zamawiający wymaga, aby  w komorze zapewnione były warunki z możliwością ich regulacji ( z krokiem 1°C, 1% ), temperatura w przedziale od 15°C do 26°C, wilgotność z przedziału od 15% do 75%, natomiast w pomieszczeniach AR/CR ( możliwość regulacji z krokiem 1°C ) temperatura z przedziału od 18°C do 30°C.</w:t>
            </w:r>
          </w:p>
        </w:tc>
      </w:tr>
      <w:tr w:rsidR="00EB23BE" w:rsidRPr="00EB23BE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Pomieszczenie do zainstalowania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- min. 4,0m x 2,5m x 3,0m, (długość x szerokość x wysokość) z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panele ekranujące na podłogę, ściany i sufit,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 – z tolerancją do 10 % lub większego wymiaru typoszeregu dla paneli)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A97B84" w:rsidRPr="00EB23BE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max. +10%</w:t>
            </w:r>
          </w:p>
          <w:p w:rsidR="00A97B84" w:rsidRPr="00EB23BE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A97B84" w:rsidRPr="00EB23BE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A97B84" w:rsidRPr="00EB23BE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EB23BE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  - 2 szt. Umożliwiające postawienie wymaganej dla związanego z elementem Stanowiska/Stanowiska osprzętem i przestrzeni dla swobodnego czytania dokumentów i tworzenia notatek .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EB23BE" w:rsidRPr="00EB23BE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EB23BE" w:rsidRDefault="00A97B84" w:rsidP="00AA595D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 z max zwiększeniem wymiarów do 10% 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szt., przejście optyczne , 6 torowy falowód,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A97B84" w:rsidRPr="00EB23BE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wymiary  min 0,9m x 2,0m,  max. +10%</w:t>
            </w:r>
          </w:p>
          <w:p w:rsidR="00A97B84" w:rsidRPr="00EB23BE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A97B84" w:rsidRPr="00EB23BE" w:rsidRDefault="00A97B84" w:rsidP="00AA595D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300mm,  max. +10%</w:t>
            </w:r>
          </w:p>
          <w:p w:rsidR="00A97B84" w:rsidRPr="00EB23BE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A97B84" w:rsidRPr="00EB23BE" w:rsidRDefault="00A97B84" w:rsidP="00AA595D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A97B84" w:rsidRPr="00EB23BE" w:rsidRDefault="00A97B84" w:rsidP="00AA595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EB23BE" w:rsidRPr="00EB23BE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EB23BE" w:rsidRDefault="00A97B84" w:rsidP="00AA595D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Zbiornik pomiarowy</w:t>
            </w:r>
          </w:p>
        </w:tc>
      </w:tr>
      <w:tr w:rsidR="00EB23BE" w:rsidRPr="00EB23BE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o wymiarach 2,5m x 1,5m x 1,5m (głębokość), z tolerancją do 5%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przewożenia zbiornika za pomocą wózka widłowego,</w:t>
            </w:r>
          </w:p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zbiornik wyposażony w uziemienie zgodnie z MIL-STD-461, na dnie zbiornika z możliwością demontażu,</w:t>
            </w:r>
          </w:p>
        </w:tc>
      </w:tr>
      <w:tr w:rsidR="00EB23BE" w:rsidRPr="00EB23BE" w:rsidTr="00AA595D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97B84" w:rsidRPr="00EB23BE" w:rsidRDefault="00A97B84" w:rsidP="00AA595D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 xml:space="preserve">Zabezpieczenie </w:t>
            </w:r>
            <w:r w:rsidRPr="00EB23BE">
              <w:rPr>
                <w:rFonts w:ascii="Myriad Pro Light SemiExt" w:eastAsia="Calibri" w:hAnsi="Myriad Pro Light SemiExt" w:cs="Arial"/>
                <w:b/>
                <w:sz w:val="24"/>
                <w:szCs w:val="24"/>
              </w:rPr>
              <w:t xml:space="preserve"> </w:t>
            </w: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Komory  przed zalaniem i uszkodzeniem mechanicznym</w:t>
            </w:r>
          </w:p>
        </w:tc>
      </w:tr>
      <w:tr w:rsidR="00EB23BE" w:rsidRPr="00EB23BE" w:rsidTr="00AA595D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97B84" w:rsidRPr="00EB23BE" w:rsidRDefault="00A97B84" w:rsidP="00AA595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A97B84" w:rsidRPr="00EB23BE" w:rsidRDefault="00A97B84" w:rsidP="008A780F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Wokół zadaszenia powinien znajdować się </w:t>
            </w:r>
            <w:r w:rsidRPr="00EB23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</w:t>
            </w:r>
            <w:r w:rsidR="008A780F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zbierający wodę z zadaszenia  i odprowadzający ją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do wykonanego w ramach realizacji budynku systemu odwodnienia. Zadaszenie powinni obejmować min. 50 cm większy obszar niż wynika z rzutu poziomego komory.</w:t>
            </w:r>
          </w:p>
        </w:tc>
      </w:tr>
    </w:tbl>
    <w:p w:rsidR="0052233C" w:rsidRPr="00EB23BE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>UWAGA!</w:t>
      </w:r>
    </w:p>
    <w:p w:rsidR="00765767" w:rsidRPr="00EB23BE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>W Części 1 Zamawiający nie przewiduje „zamówienia opcjonalnego”</w:t>
      </w:r>
    </w:p>
    <w:p w:rsidR="00DA69D4" w:rsidRPr="00EB23BE" w:rsidRDefault="00DA69D4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765767" w:rsidRPr="00EB23BE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>CZEŚĆ 2</w:t>
      </w:r>
      <w:r w:rsidR="0052233C"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 -&gt; </w:t>
      </w:r>
    </w:p>
    <w:p w:rsidR="00D3492C" w:rsidRPr="00EB23BE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p w:rsidR="00765767" w:rsidRPr="00EB23BE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EB23BE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IEC 60533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EB23BE" w:rsidRPr="00B12F05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PCE-02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lastRenderedPageBreak/>
              <w:t>EN 55025/CISPR 25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posiada złącze BNC 50 Ohm lub złącze N- antena przystosowana do montażu na statywie,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7800FA" w:rsidRPr="00EB23BE" w:rsidRDefault="007800FA" w:rsidP="007800FA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zasilanie anteny za pomocą przewodu,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obracania anteny na statywie w </w:t>
            </w: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różnych pozycjach zgodnie z normą,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30MHz-6GHz,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  <w:r w:rsidR="004268C9"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,</w:t>
            </w:r>
          </w:p>
          <w:p w:rsidR="004268C9" w:rsidRPr="00EB23BE" w:rsidRDefault="004268C9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możliwość zmiany polaryzacji z pomieszczenia CR.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</w:t>
            </w: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461F/G RE102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A97B84" w:rsidRPr="00EB23BE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A97B84" w:rsidRPr="00EB23BE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A97B84" w:rsidRPr="00EB23BE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28D1" w:rsidRPr="00EB23BE" w:rsidRDefault="00D328D1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zdalne sterowanie w pomieszczeniu CR (z odbiornika pomiarowego  oraz oprogramowania)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A97B84" w:rsidRPr="00EB23BE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A97B84" w:rsidRPr="00EB23BE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4268C9" w:rsidRPr="00EB23BE" w:rsidRDefault="00A97B84" w:rsidP="00A97B84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</w:t>
            </w:r>
          </w:p>
          <w:p w:rsidR="00A97B84" w:rsidRPr="00EB23BE" w:rsidRDefault="004268C9" w:rsidP="006240E3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 zdalne sterowanie w pomieszczeniu CR </w:t>
            </w:r>
            <w:r w:rsidR="00D328D1"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(z odbiornika pomiarowego  oraz oprogramowania)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ISN do pomiaru nieekranowanych symetrycznych linii transmisyjnych UTC 8-przewodów (4-pary) </w:t>
            </w: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</w:t>
            </w: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topologia zgodna z normą CISPR 32,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A97B84" w:rsidRPr="00EB23BE" w:rsidRDefault="00A97B84" w:rsidP="00A97B84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 lub zestaw wzmacniaczy obejmujący zakres  od 9kHz do 40GHz 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pomiaru zgodnie z przedmiotem zamówienia, pomiar emisji przewodzonej i promieniowanej zgodnie z normami cywilnymi i obronnymi,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możliwość analizy o obróbki danych na </w:t>
            </w: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lastRenderedPageBreak/>
              <w:t>niezależnych min. 2 stacjach roboczych</w:t>
            </w:r>
          </w:p>
          <w:p w:rsidR="00094426" w:rsidRPr="00EB23BE" w:rsidRDefault="00A97B84" w:rsidP="0009442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  <w:p w:rsidR="00DD4F58" w:rsidRPr="00EB23BE" w:rsidRDefault="00094426" w:rsidP="00094426">
            <w:pPr>
              <w:spacing w:before="120" w:after="120" w:line="240" w:lineRule="auto"/>
              <w:jc w:val="both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Wymaga się zapewnienie automatycznego pomiaru emisji, poprzez zapewnienie automatyki stołu i masztu a także automatyki procesu pomiarowego (pomiar wstępny, selekcja częstotliwości krytycznych dla różnych ustawień masztu i stołu, pomiar końcowy dla wybranych punktów krytycznych).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3Hz do 44GHz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 umożliwiający pomiar w czasie rzeczywistym o  minimalnej szerokość okna pomiarowego 80MHz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Dostarczony odbiornik musi zapewniać pełną zgodność (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full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–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compliance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) z przedstawionymi w OPZ szczegółowymi wymaganiami. Powyższe musi znaleźć odzwierciedlenia w przedłożonych dla niego  dokumentach, w tym w świadectwie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EB23BE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EB23BE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EB23BE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5D7EE6" w:rsidRPr="00EB23BE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5D7EE6" w:rsidRPr="00EB23BE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-automatyczna zmiana odległości klamry pomiarowej z pomieszczenia CR za pomocą układu sterowania spełniającego limit wg EN 55032,</w:t>
            </w:r>
          </w:p>
          <w:p w:rsidR="005D7EE6" w:rsidRPr="00EB23BE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5D7EE6" w:rsidRPr="00EB23BE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5D7EE6" w:rsidRPr="00EB23BE" w:rsidRDefault="005D7EE6" w:rsidP="00A97B84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EB23BE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EB23BE" w:rsidRDefault="005D7EE6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EB23BE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5D7EE6" w:rsidRPr="00EB23BE" w:rsidRDefault="005D7EE6" w:rsidP="00A97B84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  <w:p w:rsidR="00252CF8" w:rsidRPr="00EB23BE" w:rsidRDefault="00252CF8" w:rsidP="00A97B84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wzorcowanie</w:t>
            </w:r>
          </w:p>
        </w:tc>
      </w:tr>
    </w:tbl>
    <w:p w:rsidR="0052233C" w:rsidRPr="00EB23BE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EB23BE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EB23BE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EB23BE" w:rsidRPr="00EB23BE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5D7EE6" w:rsidRPr="00EB23BE" w:rsidRDefault="00C13043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7EE6" w:rsidRPr="00EB23BE" w:rsidRDefault="005D7EE6" w:rsidP="000A26E6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D7EE6" w:rsidRPr="00EB23BE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5D7EE6" w:rsidRPr="00EB23BE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 (opcjonalnie) , CDMA,</w:t>
            </w:r>
          </w:p>
          <w:p w:rsidR="005D7EE6" w:rsidRPr="00EB23BE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5D7EE6" w:rsidRPr="00EB23BE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CMMB, FM Stereo.</w:t>
            </w:r>
          </w:p>
          <w:p w:rsidR="005D7EE6" w:rsidRPr="00EB23BE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obsługa standardu UMTS</w:t>
            </w:r>
          </w:p>
          <w:p w:rsidR="005D7EE6" w:rsidRPr="00EB23BE" w:rsidRDefault="005D7EE6" w:rsidP="000A26E6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Dopuszcza się dostawę zestawu testerów pokrywających przywołane powyżej standardy.</w:t>
            </w:r>
          </w:p>
          <w:p w:rsidR="005D7EE6" w:rsidRPr="00EB23BE" w:rsidRDefault="005D7EE6" w:rsidP="000A26E6">
            <w:pPr>
              <w:spacing w:after="120"/>
              <w:rPr>
                <w:rFonts w:ascii="Myriad Pro Light SemiExt" w:hAnsi="Myriad Pro Light SemiExt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W zakresie wymienionych standardów, oczekuje się dostawy testera posiadającego typowe/podstawowe wersje np. LTE </w:t>
            </w:r>
            <w:proofErr w:type="spellStart"/>
            <w:r w:rsidRPr="00EB23BE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>revision</w:t>
            </w:r>
            <w:proofErr w:type="spellEnd"/>
            <w:r w:rsidRPr="00EB23BE">
              <w:rPr>
                <w:rFonts w:ascii="Myriad Pro Light SemiExt" w:hAnsi="Myriad Pro Light SemiExt"/>
                <w:sz w:val="20"/>
                <w:szCs w:val="20"/>
                <w:lang w:eastAsia="pl-PL"/>
              </w:rPr>
              <w:t xml:space="preserve"> 8.  Tester   powinien zaś mieć możliwość rozbudowy sprzętowej I programowej do nowszych i wyższych wersji.  Przywołana powyżej sytuacja (możliwość rozbudowy) musi mieć miejsce również w każdym urządzeniu w przypadku dostawy zestawu testerów.</w:t>
            </w:r>
          </w:p>
        </w:tc>
      </w:tr>
    </w:tbl>
    <w:p w:rsidR="005D7EE6" w:rsidRPr="00EB23BE" w:rsidRDefault="005D7EE6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765767" w:rsidRPr="00EB23BE" w:rsidRDefault="00765767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>CZĘŚĆ 3</w:t>
      </w:r>
      <w:r w:rsidR="0052233C"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 -&gt;</w:t>
      </w:r>
    </w:p>
    <w:p w:rsidR="00D3492C" w:rsidRPr="00EB23BE" w:rsidRDefault="00D3492C" w:rsidP="00765767">
      <w:pPr>
        <w:spacing w:before="120" w:after="120"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p w:rsidR="00765767" w:rsidRPr="00EB23BE" w:rsidRDefault="00765767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765767" w:rsidRPr="00EB23BE" w:rsidRDefault="00765767" w:rsidP="00765767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EB23BE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 kHz do 18 GHz zgodnie z MIL-STD-461</w:t>
            </w:r>
          </w:p>
          <w:p w:rsidR="00294542" w:rsidRPr="00EB23BE" w:rsidRDefault="00294542" w:rsidP="0029454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- 20V/m  w  zakresie od 26MHz do 80MHz zgodnie z PN-EN 61000-4-3</w:t>
            </w:r>
          </w:p>
          <w:p w:rsidR="00294542" w:rsidRPr="00EB23BE" w:rsidRDefault="00294542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- 30V/m  w  zakresie od 80</w:t>
            </w:r>
            <w:r w:rsidR="00A97B84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MHz do 6GHz zgodnie z PN-EN 61000-4-3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Powinna istnieć możliwość rozbudowy systemu do 40GHz poprzez doposażenie nie zaś wymianę części elementów.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B61209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B61209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Hz do 18 GHz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18 GHz</w:t>
            </w:r>
          </w:p>
          <w:p w:rsidR="00A97B84" w:rsidRPr="00EB23BE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</w:t>
            </w:r>
            <w:r w:rsidR="006961D9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26MHz do 80MHz</w:t>
            </w:r>
            <w:r w:rsidR="00D72AA5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20V/m z 3 metrów oraz od 80MHz do 6GHz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30 V/m z 3 metrów,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</w:r>
            <w:r w:rsidR="009D435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</w:t>
            </w:r>
            <w:r w:rsidR="00D72AA5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 metra 50 V/m  w zakresie od 10kHz do 18GHz zgodnie z MIL-STD-461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18GHz,</w:t>
            </w:r>
          </w:p>
          <w:p w:rsidR="00A97B84" w:rsidRPr="00EB23BE" w:rsidRDefault="00EB1F00" w:rsidP="00EB1F00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10 kHz do </w:t>
            </w:r>
            <w:r w:rsidR="00EB1F00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26MHz-6GHz, 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współczynnik antenowy AF  max do 24dB/m dla 1GHz przy odległości 3 m.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częstotliwości od 10 kHz do 18 GHz,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pomiarowy do </w:t>
            </w:r>
            <w:r w:rsidR="00EB1F00"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18</w:t>
            </w:r>
            <w:r w:rsidRPr="00EB23BE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 GHz,</w:t>
            </w:r>
          </w:p>
          <w:p w:rsidR="00A97B84" w:rsidRPr="00EB23BE" w:rsidRDefault="009B14A4" w:rsidP="009B14A4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A97B84" w:rsidRPr="00EB23BE" w:rsidRDefault="00AA37EE" w:rsidP="00AA37EE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</w:t>
            </w:r>
            <w:r w:rsidR="00A97B84" w:rsidRPr="00EB23BE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.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EA775F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 xml:space="preserve">w płaszczyźnie pomiarowej1,5m x 1,5m pole mierzone w odległości 3m od anteny nadawczej powinno wykazywać jednorodność z tolerancją  (-0dB ÷ +6dB): dla wszystkich punktów pomiarowych (16) w  zakresie </w:t>
            </w:r>
            <w:r w:rsidR="00EA775F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80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MHz – 1GHz oraz dla 75% punktów pomiarowych (12) w  zakresie częstotliwości1GHz – 6GHz</w:t>
            </w:r>
          </w:p>
        </w:tc>
      </w:tr>
      <w:tr w:rsidR="00EB23BE" w:rsidRPr="00EB23BE" w:rsidTr="00AA595D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97B84" w:rsidRPr="00EB23BE" w:rsidRDefault="00A97B84" w:rsidP="00A97B84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A97B84" w:rsidRPr="00EB23BE" w:rsidRDefault="00A97B84" w:rsidP="00A97B84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EE402E" w:rsidRPr="00EB23BE" w:rsidRDefault="00EE402E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2C37DB" w:rsidRPr="00EB23BE" w:rsidRDefault="00402676" w:rsidP="00402676">
      <w:pPr>
        <w:spacing w:before="120" w:after="120"/>
        <w:rPr>
          <w:rFonts w:ascii="Myriad Pro Light SemiExt" w:eastAsia="Calibri" w:hAnsi="Myriad Pro Light SemiExt" w:cs="Arial"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EB23BE">
        <w:rPr>
          <w:rFonts w:ascii="Myriad Pro Light SemiExt" w:eastAsia="Calibri" w:hAnsi="Myriad Pro Light SemiExt" w:cs="Arial"/>
          <w:sz w:val="24"/>
          <w:szCs w:val="24"/>
        </w:rPr>
        <w:t xml:space="preserve">obejmuje </w:t>
      </w:r>
      <w:r w:rsidR="002C37DB" w:rsidRPr="00EB23BE">
        <w:rPr>
          <w:rFonts w:ascii="Myriad Pro Light SemiExt" w:eastAsia="Calibri" w:hAnsi="Myriad Pro Light SemiExt" w:cstheme="minorHAnsi"/>
          <w:sz w:val="24"/>
          <w:szCs w:val="24"/>
        </w:rPr>
        <w:t xml:space="preserve">Pomiar odporności promieniowej </w:t>
      </w:r>
      <w:r w:rsidR="002C37DB" w:rsidRPr="00EB23BE">
        <w:rPr>
          <w:rFonts w:ascii="Myriad Pro Light SemiExt" w:eastAsia="Calibri" w:hAnsi="Myriad Pro Light SemiExt" w:cs="Arial"/>
          <w:sz w:val="24"/>
          <w:szCs w:val="24"/>
        </w:rPr>
        <w:t>w zakresie od 18 GHz do 40 GHz zgodnie z MIL-STD-461</w:t>
      </w:r>
      <w:r w:rsidR="002C37DB" w:rsidRPr="00EB23BE">
        <w:rPr>
          <w:rFonts w:ascii="Myriad Pro Light SemiExt" w:eastAsia="Calibri" w:hAnsi="Myriad Pro Light SemiExt" w:cstheme="minorHAnsi"/>
          <w:sz w:val="24"/>
          <w:szCs w:val="24"/>
        </w:rPr>
        <w:t>), który składa się z: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Oczekiwane parametry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D4482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18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 zgodnie z MIL-STD-461</w:t>
            </w:r>
          </w:p>
          <w:p w:rsidR="00F81A98" w:rsidRPr="00EB23BE" w:rsidRDefault="00FD4482" w:rsidP="00FD4482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Rozbudowa 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systemu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zakresie 18GHz 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40GHz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powinna  odbyć się 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poprzez doposażenie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elementów ujętych w „zamówieniu gwarantowanym”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n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ie zaś ich wymianę.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FD4482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18G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FD4482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</w:t>
            </w:r>
            <w:r w:rsidR="009D435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18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9D435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9D435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EB23BE" w:rsidRDefault="009D435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 metra 50 V/m  w zakresie od 1</w:t>
            </w:r>
            <w:r w:rsidR="0036503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8G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="0036503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GHz zgodnie z MIL-STD-461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F81A98" w:rsidRPr="00EB23BE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</w:p>
          <w:p w:rsidR="00365038" w:rsidRPr="00EB23BE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dopuszcza się wzmacniacz zintegrowany z anteną.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18G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GHz,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36503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365038" w:rsidRPr="00EB23BE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dopuszcza się sprzęgacz wbudowany w wzmacniacz.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18 G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Hz do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40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GHz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500V/m,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kalibracji, wzorcowania.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365038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</w:t>
            </w:r>
            <w:r w:rsidR="0036503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 anteny zgodnie z testami  wg.  MIL-STD-461.</w:t>
            </w:r>
          </w:p>
          <w:p w:rsidR="00F81A98" w:rsidRPr="00EB23BE" w:rsidRDefault="00365038" w:rsidP="0036503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734185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pomiarowy </w:t>
            </w:r>
            <w:r w:rsidR="0036503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od 18 GHz do 40 GHz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dokumenty kalibracji.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594B6D" w:rsidP="00594B6D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Oprogramowanie </w:t>
            </w:r>
            <w:r w:rsidR="00F81A98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F81A98" w:rsidRPr="00EB23BE" w:rsidRDefault="00594B6D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zainstalowane na dostarczonym w ramach „zamówienia gwarantowanego” komputerze.</w:t>
            </w:r>
          </w:p>
        </w:tc>
      </w:tr>
      <w:tr w:rsidR="00EB23BE" w:rsidRPr="00EB23BE" w:rsidTr="00461C9E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F81A98" w:rsidRPr="00EB23BE" w:rsidRDefault="00461C9E" w:rsidP="00F81A98">
            <w:pPr>
              <w:spacing w:before="120" w:after="120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F81A98" w:rsidRPr="00EB23BE" w:rsidRDefault="00F81A98" w:rsidP="00F81A98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0725C9" w:rsidRPr="00EB23BE" w:rsidRDefault="000725C9" w:rsidP="00402676">
      <w:pPr>
        <w:spacing w:before="120" w:after="120"/>
        <w:contextualSpacing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EB23BE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u w:val="single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 xml:space="preserve">ZADANIE NR 2 </w:t>
      </w:r>
    </w:p>
    <w:p w:rsidR="00402676" w:rsidRPr="00EB23BE" w:rsidRDefault="000409AF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opracowanie dokumentacji projektowej stanowiska do badania odporności urządzeń i systemów techniki morskiej na oddziaływanie pól elektromagnetycznych impulsowych wysokiej mocy wraz z dostawą, montażem, uruchomieniem stanowiska i pełnieniem nadzoru autorskiego. </w:t>
      </w:r>
    </w:p>
    <w:p w:rsidR="00402676" w:rsidRPr="00EB23BE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Pr="00EB23BE" w:rsidRDefault="000409AF" w:rsidP="00402676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  <w:u w:val="single"/>
        </w:rPr>
        <w:t>Zadanie nr 2</w:t>
      </w: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 obejmuje swoim zakresem Część 4 (czwartą) przedmiotu zamówienia, tj.:</w:t>
      </w:r>
    </w:p>
    <w:p w:rsidR="000409AF" w:rsidRPr="00EB23BE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EB23BE" w:rsidRDefault="00402676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 xml:space="preserve">CZĘŚĆ </w:t>
      </w:r>
      <w:r w:rsidR="0052233C" w:rsidRPr="00EB23BE">
        <w:rPr>
          <w:rFonts w:ascii="Myriad Pro Light SemiExt" w:eastAsia="Calibri" w:hAnsi="Myriad Pro Light SemiExt" w:cs="Arial"/>
          <w:b/>
          <w:sz w:val="24"/>
          <w:szCs w:val="24"/>
        </w:rPr>
        <w:t>4 -&gt;</w:t>
      </w:r>
    </w:p>
    <w:p w:rsidR="00D3492C" w:rsidRPr="00EB23BE" w:rsidRDefault="00D3492C" w:rsidP="00402676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Pr="00EB23BE">
        <w:rPr>
          <w:rFonts w:ascii="Myriad Pro Light SemiExt" w:eastAsia="Calibri" w:hAnsi="Myriad Pro Light SemiExt" w:cs="Arial"/>
          <w:b/>
          <w:bCs/>
          <w:sz w:val="24"/>
          <w:szCs w:val="24"/>
        </w:rPr>
        <w:t>do badania odporności urządzeń i systemów techniki morskiej na oddziaływanie pól elektromagnetycznych impulsowych wysokiej mocy (NEMP).</w:t>
      </w:r>
    </w:p>
    <w:p w:rsidR="00402676" w:rsidRPr="00EB23BE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EB23BE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gwarantowane” </w:t>
      </w:r>
      <w:r w:rsidRPr="00EB23BE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EB23BE" w:rsidRPr="00EB23BE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EB23BE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EB23BE" w:rsidRPr="00EB23BE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EB23BE" w:rsidRPr="00EB23BE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EB23BE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EB23BE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EB23BE" w:rsidRPr="00EB23BE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generator wysokonapięciowy szybkich impulsów podłączany do linii antenowej,</w:t>
            </w:r>
          </w:p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Pr="00EB23BE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proofErr w:type="spellStart"/>
            <w:r w:rsidR="00C126FB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EB23BE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EB23BE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126FB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EB23BE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EB23BE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EB23BE" w:rsidRPr="00EB23BE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EB23BE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EB23BE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EB23BE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EB23BE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EB23BE" w:rsidRPr="00EB23BE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B23BE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EB23BE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EB23BE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EB23BE" w:rsidRPr="00EB23BE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wskazanie naładowania i ustawienia napięcia </w:t>
            </w: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ładowania generatora</w:t>
            </w:r>
          </w:p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EB23BE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</w:tbl>
    <w:p w:rsidR="00EE402E" w:rsidRPr="00EB23BE" w:rsidRDefault="00EE402E" w:rsidP="00EE402E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402676" w:rsidRPr="00EB23BE" w:rsidRDefault="00402676" w:rsidP="00402676">
      <w:pPr>
        <w:spacing w:before="120" w:after="120"/>
        <w:rPr>
          <w:rFonts w:ascii="Myriad Pro Light SemiExt" w:eastAsia="Calibri" w:hAnsi="Myriad Pro Light SemiExt" w:cs="Arial"/>
          <w:b/>
          <w:sz w:val="24"/>
          <w:szCs w:val="24"/>
        </w:rPr>
      </w:pPr>
      <w:r w:rsidRPr="00EB23BE">
        <w:rPr>
          <w:rFonts w:ascii="Myriad Pro Light SemiExt" w:eastAsia="Calibri" w:hAnsi="Myriad Pro Light SemiExt" w:cs="Arial"/>
          <w:b/>
          <w:sz w:val="24"/>
          <w:szCs w:val="24"/>
        </w:rPr>
        <w:t xml:space="preserve">„Zamówienie opcjonalne” </w:t>
      </w:r>
      <w:r w:rsidRPr="00EB23BE">
        <w:rPr>
          <w:rFonts w:ascii="Myriad Pro Light SemiExt" w:eastAsia="Calibri" w:hAnsi="Myriad Pro Light SemiExt" w:cs="Arial"/>
          <w:sz w:val="24"/>
          <w:szCs w:val="24"/>
        </w:rPr>
        <w:t>obejmuje nw. elementy Stanowiska/Stanowiska: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EB23BE" w:rsidRPr="00EB23BE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 (do badań poza Komorą)</w:t>
            </w:r>
          </w:p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namiot o wymiarach 2m x 2m x 2 m ± 0,3m ,</w:t>
            </w:r>
          </w:p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panelem przejściowym ze złączem N-N + falowód,</w:t>
            </w:r>
          </w:p>
        </w:tc>
      </w:tr>
      <w:tr w:rsidR="00EB23BE" w:rsidRPr="00EB23BE" w:rsidTr="000A26E6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rolki o wymiarach 25m x 2 m ± 0,3m ,</w:t>
            </w:r>
          </w:p>
          <w:p w:rsidR="00EE402E" w:rsidRPr="00EB23BE" w:rsidRDefault="00EE402E" w:rsidP="000A26E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B23BE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2645FA" w:rsidRPr="00EB23BE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0725C9" w:rsidRPr="00EB23BE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EB23BE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B85EEC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4337E" w:rsidRPr="00EB23BE" w:rsidRDefault="0004337E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EB23BE" w:rsidRDefault="000725C9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552285" w:rsidRPr="00EB23BE" w:rsidRDefault="00552285" w:rsidP="00402676">
      <w:pPr>
        <w:spacing w:after="120"/>
        <w:rPr>
          <w:rFonts w:ascii="Myriad Pro Light SemiExt" w:eastAsia="Calibri" w:hAnsi="Myriad Pro Light SemiExt" w:cs="Arial"/>
          <w:i/>
          <w:sz w:val="24"/>
          <w:szCs w:val="24"/>
        </w:rPr>
      </w:pPr>
    </w:p>
    <w:p w:rsidR="000725C9" w:rsidRPr="00EB23BE" w:rsidRDefault="000725C9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</w:p>
    <w:sectPr w:rsidR="000725C9" w:rsidRPr="00EB23BE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08" w:rsidRDefault="00F83608" w:rsidP="008F14F3">
      <w:pPr>
        <w:spacing w:after="0" w:line="240" w:lineRule="auto"/>
      </w:pPr>
      <w:r>
        <w:separator/>
      </w:r>
    </w:p>
  </w:endnote>
  <w:endnote w:type="continuationSeparator" w:id="0">
    <w:p w:rsidR="00F83608" w:rsidRDefault="00F83608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9" w:rsidRDefault="006961D9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1E2FC3" wp14:editId="241B3651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2FF792C" wp14:editId="5DD86C37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1D9" w:rsidRDefault="006961D9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08" w:rsidRDefault="00F83608" w:rsidP="008F14F3">
      <w:pPr>
        <w:spacing w:after="0" w:line="240" w:lineRule="auto"/>
      </w:pPr>
      <w:r>
        <w:separator/>
      </w:r>
    </w:p>
  </w:footnote>
  <w:footnote w:type="continuationSeparator" w:id="0">
    <w:p w:rsidR="00F83608" w:rsidRDefault="00F83608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D9" w:rsidRPr="00AE001A" w:rsidRDefault="006961D9" w:rsidP="00AE001A">
    <w:pPr>
      <w:pStyle w:val="Nagwek"/>
      <w:ind w:left="709" w:hanging="709"/>
      <w:rPr>
        <w:rFonts w:ascii="Myriad Pro Light SemiExt" w:hAnsi="Myriad Pro Light SemiExt"/>
        <w:sz w:val="15"/>
        <w:szCs w:val="15"/>
      </w:rPr>
    </w:pP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  <w:r w:rsidRPr="00AE001A">
      <w:rPr>
        <w:rFonts w:ascii="Myriad Pro Light SemiExt" w:hAnsi="Myriad Pro Light SemiExt"/>
        <w:sz w:val="15"/>
        <w:szCs w:val="15"/>
      </w:rPr>
      <w:tab/>
    </w:r>
  </w:p>
  <w:p w:rsidR="006961D9" w:rsidRDefault="006961D9">
    <w:pPr>
      <w:pStyle w:val="Nagwek"/>
    </w:pP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487B5" wp14:editId="40670A23">
              <wp:simplePos x="0" y="0"/>
              <wp:positionH relativeFrom="page">
                <wp:posOffset>2433955</wp:posOffset>
              </wp:positionH>
              <wp:positionV relativeFrom="page">
                <wp:posOffset>380365</wp:posOffset>
              </wp:positionV>
              <wp:extent cx="1549400" cy="345440"/>
              <wp:effectExtent l="0" t="0" r="12700" b="1651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Ośrodek Badawczo-Rozwojowy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Centrum Techniki Morskiej S.A.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91.65pt;margin-top:29.95pt;width:12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Ośrodek Badawczo-Rozwojowy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Centrum Techniki Morskiej S.A.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E001A">
      <w:rPr>
        <w:rFonts w:ascii="Myriad Pro Light SemiExt" w:hAnsi="Myriad Pro Light SemiExt"/>
        <w:noProof/>
        <w:sz w:val="15"/>
        <w:szCs w:val="15"/>
        <w:lang w:eastAsia="pl-PL"/>
      </w:rPr>
      <w:drawing>
        <wp:anchor distT="0" distB="0" distL="114300" distR="114300" simplePos="0" relativeHeight="251660288" behindDoc="1" locked="0" layoutInCell="1" allowOverlap="1" wp14:anchorId="4BFCC352" wp14:editId="3ADDFC21">
          <wp:simplePos x="0" y="0"/>
          <wp:positionH relativeFrom="column">
            <wp:posOffset>-93345</wp:posOffset>
          </wp:positionH>
          <wp:positionV relativeFrom="paragraph">
            <wp:posOffset>93980</wp:posOffset>
          </wp:positionV>
          <wp:extent cx="1115695" cy="42862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11E4192" wp14:editId="30C67819">
              <wp:simplePos x="0" y="0"/>
              <wp:positionH relativeFrom="page">
                <wp:posOffset>4128135</wp:posOffset>
              </wp:positionH>
              <wp:positionV relativeFrom="page">
                <wp:posOffset>310515</wp:posOffset>
              </wp:positionV>
              <wp:extent cx="1112520" cy="345440"/>
              <wp:effectExtent l="0" t="0" r="11430" b="1651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ul. A. Dickmana 62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81-109 Gdynia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</w:rP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1" o:spid="_x0000_s1027" type="#_x0000_t202" style="position:absolute;margin-left:325.05pt;margin-top:24.45pt;width:87.6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ul. A. Dickmana 62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81-109 Gdynia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</w:rP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8FA2CE0" wp14:editId="40986664">
              <wp:simplePos x="0" y="0"/>
              <wp:positionH relativeFrom="page">
                <wp:posOffset>3867149</wp:posOffset>
              </wp:positionH>
              <wp:positionV relativeFrom="page">
                <wp:posOffset>300355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304.5pt,23.65pt" to="304.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319CDC13" wp14:editId="69B3A542">
              <wp:simplePos x="0" y="0"/>
              <wp:positionH relativeFrom="page">
                <wp:posOffset>2294889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80.7pt,23.7pt" to="180.7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rFonts w:ascii="Myriad Pro Light SemiExt" w:hAnsi="Myriad Pro Light SemiExt"/>
        <w:noProof/>
        <w:sz w:val="15"/>
        <w:szCs w:val="15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2BD7C572" wp14:editId="0FBE728B">
              <wp:simplePos x="0" y="0"/>
              <wp:positionH relativeFrom="page">
                <wp:posOffset>5494019</wp:posOffset>
              </wp:positionH>
              <wp:positionV relativeFrom="page">
                <wp:posOffset>300990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432.6pt,23.7pt" to="43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" strokecolor="#00263d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D06F4" wp14:editId="78408AEA">
              <wp:simplePos x="0" y="0"/>
              <wp:positionH relativeFrom="page">
                <wp:posOffset>5805805</wp:posOffset>
              </wp:positionH>
              <wp:positionV relativeFrom="page">
                <wp:posOffset>307975</wp:posOffset>
              </wp:positionV>
              <wp:extent cx="1112520" cy="582295"/>
              <wp:effectExtent l="0" t="0" r="11430" b="825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tel. (+48) 58 77 64 587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fax. (+48) 58 77 64 764</w:t>
                          </w:r>
                        </w:p>
                        <w:p w:rsidR="006961D9" w:rsidRPr="00AE001A" w:rsidRDefault="006961D9" w:rsidP="00AE001A">
                          <w:pPr>
                            <w:pStyle w:val="Bezodstpw"/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</w:pPr>
                          <w:r w:rsidRPr="00AE001A">
                            <w:rPr>
                              <w:rFonts w:ascii="Myriad Pro Light SemiExt" w:hAnsi="Myriad Pro Light SemiExt"/>
                              <w:sz w:val="15"/>
                              <w:szCs w:val="15"/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457.15pt;margin-top:24.25pt;width:87.6pt;height: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" filled="f" stroked="f">
              <v:path arrowok="t"/>
              <v:textbox inset="0,0,0,0">
                <w:txbxContent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tel. (+48) 58 77 64 587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fax. (+48) 58 77 64 764</w:t>
                    </w:r>
                  </w:p>
                  <w:p w:rsidR="00CC184B" w:rsidRPr="00AE001A" w:rsidRDefault="00CC184B" w:rsidP="00AE001A">
                    <w:pPr>
                      <w:pStyle w:val="Bezodstpw"/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</w:pPr>
                    <w:r w:rsidRPr="00AE001A">
                      <w:rPr>
                        <w:rFonts w:ascii="Myriad Pro Light SemiExt" w:hAnsi="Myriad Pro Light SemiExt"/>
                        <w:sz w:val="15"/>
                        <w:szCs w:val="15"/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917CA"/>
    <w:multiLevelType w:val="hybridMultilevel"/>
    <w:tmpl w:val="B6F6A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801A7B"/>
    <w:multiLevelType w:val="hybridMultilevel"/>
    <w:tmpl w:val="11EA8288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20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835758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744C2F"/>
    <w:multiLevelType w:val="hybridMultilevel"/>
    <w:tmpl w:val="2D267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387FC9"/>
    <w:multiLevelType w:val="hybridMultilevel"/>
    <w:tmpl w:val="65DC3DB6"/>
    <w:lvl w:ilvl="0" w:tplc="37A8A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4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4DB13908"/>
    <w:multiLevelType w:val="hybridMultilevel"/>
    <w:tmpl w:val="69AC70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EC0A8C"/>
    <w:multiLevelType w:val="hybridMultilevel"/>
    <w:tmpl w:val="83D64DBE"/>
    <w:lvl w:ilvl="0" w:tplc="0415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4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712729C1"/>
    <w:multiLevelType w:val="hybridMultilevel"/>
    <w:tmpl w:val="C8E0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8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D1C77C4"/>
    <w:multiLevelType w:val="hybridMultilevel"/>
    <w:tmpl w:val="D2B06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9"/>
  </w:num>
  <w:num w:numId="2">
    <w:abstractNumId w:val="32"/>
  </w:num>
  <w:num w:numId="3">
    <w:abstractNumId w:val="70"/>
  </w:num>
  <w:num w:numId="4">
    <w:abstractNumId w:val="46"/>
  </w:num>
  <w:num w:numId="5">
    <w:abstractNumId w:val="27"/>
  </w:num>
  <w:num w:numId="6">
    <w:abstractNumId w:val="43"/>
  </w:num>
  <w:num w:numId="7">
    <w:abstractNumId w:val="73"/>
  </w:num>
  <w:num w:numId="8">
    <w:abstractNumId w:val="5"/>
  </w:num>
  <w:num w:numId="9">
    <w:abstractNumId w:val="10"/>
  </w:num>
  <w:num w:numId="10">
    <w:abstractNumId w:val="67"/>
  </w:num>
  <w:num w:numId="11">
    <w:abstractNumId w:val="1"/>
  </w:num>
  <w:num w:numId="12">
    <w:abstractNumId w:val="40"/>
  </w:num>
  <w:num w:numId="13">
    <w:abstractNumId w:val="52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55"/>
  </w:num>
  <w:num w:numId="17">
    <w:abstractNumId w:val="4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1"/>
  </w:num>
  <w:num w:numId="21">
    <w:abstractNumId w:val="36"/>
  </w:num>
  <w:num w:numId="22">
    <w:abstractNumId w:val="66"/>
  </w:num>
  <w:num w:numId="23">
    <w:abstractNumId w:val="3"/>
  </w:num>
  <w:num w:numId="24">
    <w:abstractNumId w:val="12"/>
  </w:num>
  <w:num w:numId="25">
    <w:abstractNumId w:val="7"/>
  </w:num>
  <w:num w:numId="26">
    <w:abstractNumId w:val="29"/>
  </w:num>
  <w:num w:numId="27">
    <w:abstractNumId w:val="6"/>
  </w:num>
  <w:num w:numId="28">
    <w:abstractNumId w:val="57"/>
  </w:num>
  <w:num w:numId="29">
    <w:abstractNumId w:val="61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</w:num>
  <w:num w:numId="32">
    <w:abstractNumId w:val="33"/>
  </w:num>
  <w:num w:numId="33">
    <w:abstractNumId w:val="39"/>
  </w:num>
  <w:num w:numId="34">
    <w:abstractNumId w:val="58"/>
  </w:num>
  <w:num w:numId="35">
    <w:abstractNumId w:val="8"/>
  </w:num>
  <w:num w:numId="36">
    <w:abstractNumId w:val="56"/>
  </w:num>
  <w:num w:numId="37">
    <w:abstractNumId w:val="16"/>
  </w:num>
  <w:num w:numId="38">
    <w:abstractNumId w:val="28"/>
  </w:num>
  <w:num w:numId="39">
    <w:abstractNumId w:val="60"/>
  </w:num>
  <w:num w:numId="40">
    <w:abstractNumId w:val="20"/>
  </w:num>
  <w:num w:numId="41">
    <w:abstractNumId w:val="37"/>
  </w:num>
  <w:num w:numId="42">
    <w:abstractNumId w:val="45"/>
  </w:num>
  <w:num w:numId="43">
    <w:abstractNumId w:val="22"/>
  </w:num>
  <w:num w:numId="44">
    <w:abstractNumId w:val="9"/>
  </w:num>
  <w:num w:numId="45">
    <w:abstractNumId w:val="26"/>
  </w:num>
  <w:num w:numId="46">
    <w:abstractNumId w:val="18"/>
  </w:num>
  <w:num w:numId="47">
    <w:abstractNumId w:val="44"/>
  </w:num>
  <w:num w:numId="48">
    <w:abstractNumId w:val="72"/>
  </w:num>
  <w:num w:numId="49">
    <w:abstractNumId w:val="25"/>
  </w:num>
  <w:num w:numId="50">
    <w:abstractNumId w:val="38"/>
  </w:num>
  <w:num w:numId="51">
    <w:abstractNumId w:val="69"/>
  </w:num>
  <w:num w:numId="52">
    <w:abstractNumId w:val="54"/>
  </w:num>
  <w:num w:numId="53">
    <w:abstractNumId w:val="51"/>
  </w:num>
  <w:num w:numId="54">
    <w:abstractNumId w:val="42"/>
  </w:num>
  <w:num w:numId="55">
    <w:abstractNumId w:val="64"/>
  </w:num>
  <w:num w:numId="56">
    <w:abstractNumId w:val="50"/>
  </w:num>
  <w:num w:numId="57">
    <w:abstractNumId w:val="11"/>
  </w:num>
  <w:num w:numId="58">
    <w:abstractNumId w:val="35"/>
  </w:num>
  <w:num w:numId="59">
    <w:abstractNumId w:val="30"/>
  </w:num>
  <w:num w:numId="60">
    <w:abstractNumId w:val="2"/>
  </w:num>
  <w:num w:numId="61">
    <w:abstractNumId w:val="24"/>
  </w:num>
  <w:num w:numId="62">
    <w:abstractNumId w:val="14"/>
  </w:num>
  <w:num w:numId="63">
    <w:abstractNumId w:val="65"/>
  </w:num>
  <w:num w:numId="64">
    <w:abstractNumId w:val="48"/>
  </w:num>
  <w:num w:numId="65">
    <w:abstractNumId w:val="0"/>
  </w:num>
  <w:num w:numId="66">
    <w:abstractNumId w:val="17"/>
  </w:num>
  <w:num w:numId="67">
    <w:abstractNumId w:val="68"/>
  </w:num>
  <w:num w:numId="68">
    <w:abstractNumId w:val="23"/>
  </w:num>
  <w:num w:numId="69">
    <w:abstractNumId w:val="31"/>
  </w:num>
  <w:num w:numId="70">
    <w:abstractNumId w:val="34"/>
  </w:num>
  <w:num w:numId="71">
    <w:abstractNumId w:val="71"/>
  </w:num>
  <w:num w:numId="72">
    <w:abstractNumId w:val="4"/>
  </w:num>
  <w:num w:numId="73">
    <w:abstractNumId w:val="63"/>
  </w:num>
  <w:num w:numId="74">
    <w:abstractNumId w:val="21"/>
  </w:num>
  <w:num w:numId="75">
    <w:abstractNumId w:val="53"/>
  </w:num>
  <w:num w:numId="76">
    <w:abstractNumId w:val="47"/>
  </w:num>
  <w:num w:numId="77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047B8"/>
    <w:rsid w:val="000268D5"/>
    <w:rsid w:val="00031C50"/>
    <w:rsid w:val="000320B2"/>
    <w:rsid w:val="00036AC7"/>
    <w:rsid w:val="000409AF"/>
    <w:rsid w:val="0004337E"/>
    <w:rsid w:val="00057110"/>
    <w:rsid w:val="00063016"/>
    <w:rsid w:val="000636E8"/>
    <w:rsid w:val="00071D2B"/>
    <w:rsid w:val="000722B6"/>
    <w:rsid w:val="000725C9"/>
    <w:rsid w:val="00076F5E"/>
    <w:rsid w:val="00077103"/>
    <w:rsid w:val="00077C64"/>
    <w:rsid w:val="00080783"/>
    <w:rsid w:val="00086D02"/>
    <w:rsid w:val="00087473"/>
    <w:rsid w:val="00090384"/>
    <w:rsid w:val="000938C1"/>
    <w:rsid w:val="000943E4"/>
    <w:rsid w:val="00094426"/>
    <w:rsid w:val="000A03DC"/>
    <w:rsid w:val="000A26E6"/>
    <w:rsid w:val="000A2971"/>
    <w:rsid w:val="000B00E6"/>
    <w:rsid w:val="000B1410"/>
    <w:rsid w:val="000B3227"/>
    <w:rsid w:val="000B4A9C"/>
    <w:rsid w:val="000B5CA8"/>
    <w:rsid w:val="000B7011"/>
    <w:rsid w:val="000C3DC4"/>
    <w:rsid w:val="000C562A"/>
    <w:rsid w:val="000E2FB1"/>
    <w:rsid w:val="000E67A4"/>
    <w:rsid w:val="000F260B"/>
    <w:rsid w:val="000F3472"/>
    <w:rsid w:val="000F4407"/>
    <w:rsid w:val="000F6605"/>
    <w:rsid w:val="000F7FF6"/>
    <w:rsid w:val="001025B8"/>
    <w:rsid w:val="00105B62"/>
    <w:rsid w:val="00110C3C"/>
    <w:rsid w:val="001141A5"/>
    <w:rsid w:val="001250C2"/>
    <w:rsid w:val="0012565E"/>
    <w:rsid w:val="0012703B"/>
    <w:rsid w:val="001476F6"/>
    <w:rsid w:val="00153AEC"/>
    <w:rsid w:val="00160DBC"/>
    <w:rsid w:val="00170066"/>
    <w:rsid w:val="00184BCD"/>
    <w:rsid w:val="00191BC2"/>
    <w:rsid w:val="00193744"/>
    <w:rsid w:val="00195121"/>
    <w:rsid w:val="001A4066"/>
    <w:rsid w:val="001A6622"/>
    <w:rsid w:val="001A7A0B"/>
    <w:rsid w:val="001B016D"/>
    <w:rsid w:val="001B2E4B"/>
    <w:rsid w:val="001C1381"/>
    <w:rsid w:val="001C15EE"/>
    <w:rsid w:val="001C6766"/>
    <w:rsid w:val="001D0990"/>
    <w:rsid w:val="001E43AA"/>
    <w:rsid w:val="001F0882"/>
    <w:rsid w:val="00207DCA"/>
    <w:rsid w:val="002159C4"/>
    <w:rsid w:val="00235C12"/>
    <w:rsid w:val="00247C94"/>
    <w:rsid w:val="00252CF8"/>
    <w:rsid w:val="002535D7"/>
    <w:rsid w:val="002645FA"/>
    <w:rsid w:val="00264D87"/>
    <w:rsid w:val="00265B14"/>
    <w:rsid w:val="00271197"/>
    <w:rsid w:val="00271638"/>
    <w:rsid w:val="00271B84"/>
    <w:rsid w:val="00274A2A"/>
    <w:rsid w:val="00285959"/>
    <w:rsid w:val="00285A53"/>
    <w:rsid w:val="002876B7"/>
    <w:rsid w:val="00294542"/>
    <w:rsid w:val="002A443A"/>
    <w:rsid w:val="002A5530"/>
    <w:rsid w:val="002A7585"/>
    <w:rsid w:val="002B37DF"/>
    <w:rsid w:val="002B4316"/>
    <w:rsid w:val="002B4E8F"/>
    <w:rsid w:val="002B5B01"/>
    <w:rsid w:val="002C37DB"/>
    <w:rsid w:val="002C4E7E"/>
    <w:rsid w:val="002D37DA"/>
    <w:rsid w:val="002E06EE"/>
    <w:rsid w:val="002E3CFB"/>
    <w:rsid w:val="002F06EF"/>
    <w:rsid w:val="002F6523"/>
    <w:rsid w:val="002F7DE0"/>
    <w:rsid w:val="00301E5C"/>
    <w:rsid w:val="00304162"/>
    <w:rsid w:val="00312042"/>
    <w:rsid w:val="0031337D"/>
    <w:rsid w:val="00315D02"/>
    <w:rsid w:val="00326302"/>
    <w:rsid w:val="00327517"/>
    <w:rsid w:val="00330ED4"/>
    <w:rsid w:val="003401D6"/>
    <w:rsid w:val="0034235E"/>
    <w:rsid w:val="00345B49"/>
    <w:rsid w:val="003462E2"/>
    <w:rsid w:val="003508CE"/>
    <w:rsid w:val="00350D92"/>
    <w:rsid w:val="00352718"/>
    <w:rsid w:val="00352CC3"/>
    <w:rsid w:val="00365038"/>
    <w:rsid w:val="003732A0"/>
    <w:rsid w:val="003950CE"/>
    <w:rsid w:val="003B08A4"/>
    <w:rsid w:val="003B243F"/>
    <w:rsid w:val="003B6D2D"/>
    <w:rsid w:val="003C0775"/>
    <w:rsid w:val="003C1696"/>
    <w:rsid w:val="003C29A9"/>
    <w:rsid w:val="003C3229"/>
    <w:rsid w:val="003C5027"/>
    <w:rsid w:val="003D2134"/>
    <w:rsid w:val="003D414D"/>
    <w:rsid w:val="003D7471"/>
    <w:rsid w:val="003E3712"/>
    <w:rsid w:val="003E45CC"/>
    <w:rsid w:val="003E5B9A"/>
    <w:rsid w:val="003E5EC0"/>
    <w:rsid w:val="003E7B44"/>
    <w:rsid w:val="003F2C16"/>
    <w:rsid w:val="003F3EB6"/>
    <w:rsid w:val="003F7467"/>
    <w:rsid w:val="00402676"/>
    <w:rsid w:val="00424DC1"/>
    <w:rsid w:val="004268C9"/>
    <w:rsid w:val="00436C8D"/>
    <w:rsid w:val="004528B0"/>
    <w:rsid w:val="00455EE7"/>
    <w:rsid w:val="0046166E"/>
    <w:rsid w:val="00461C9E"/>
    <w:rsid w:val="00462FCB"/>
    <w:rsid w:val="00464759"/>
    <w:rsid w:val="00486415"/>
    <w:rsid w:val="00497F87"/>
    <w:rsid w:val="004A0083"/>
    <w:rsid w:val="004B0009"/>
    <w:rsid w:val="004B1176"/>
    <w:rsid w:val="004B45EE"/>
    <w:rsid w:val="004B7CE4"/>
    <w:rsid w:val="004C3A68"/>
    <w:rsid w:val="004C3DC0"/>
    <w:rsid w:val="004D1279"/>
    <w:rsid w:val="004D3996"/>
    <w:rsid w:val="004D5F17"/>
    <w:rsid w:val="004E480E"/>
    <w:rsid w:val="004E4A34"/>
    <w:rsid w:val="004F444D"/>
    <w:rsid w:val="00500712"/>
    <w:rsid w:val="00502569"/>
    <w:rsid w:val="0051143D"/>
    <w:rsid w:val="00511E5F"/>
    <w:rsid w:val="00513E84"/>
    <w:rsid w:val="00521DAE"/>
    <w:rsid w:val="0052233C"/>
    <w:rsid w:val="00533A2B"/>
    <w:rsid w:val="005423B3"/>
    <w:rsid w:val="005426BC"/>
    <w:rsid w:val="00547C21"/>
    <w:rsid w:val="0055045E"/>
    <w:rsid w:val="0055125C"/>
    <w:rsid w:val="00551B4F"/>
    <w:rsid w:val="00552285"/>
    <w:rsid w:val="00554BE7"/>
    <w:rsid w:val="00564B66"/>
    <w:rsid w:val="005809AA"/>
    <w:rsid w:val="00583750"/>
    <w:rsid w:val="005855C5"/>
    <w:rsid w:val="00594B6D"/>
    <w:rsid w:val="005A7E92"/>
    <w:rsid w:val="005C1210"/>
    <w:rsid w:val="005D3B67"/>
    <w:rsid w:val="005D47DB"/>
    <w:rsid w:val="005D48F6"/>
    <w:rsid w:val="005D5A64"/>
    <w:rsid w:val="005D7171"/>
    <w:rsid w:val="005D7EE6"/>
    <w:rsid w:val="005E495B"/>
    <w:rsid w:val="005E544B"/>
    <w:rsid w:val="005F5F6F"/>
    <w:rsid w:val="00604FAA"/>
    <w:rsid w:val="006142F7"/>
    <w:rsid w:val="006240E3"/>
    <w:rsid w:val="0063301A"/>
    <w:rsid w:val="00640483"/>
    <w:rsid w:val="00651DAF"/>
    <w:rsid w:val="00657D24"/>
    <w:rsid w:val="006634C0"/>
    <w:rsid w:val="00666A8C"/>
    <w:rsid w:val="00667F10"/>
    <w:rsid w:val="00671F9D"/>
    <w:rsid w:val="00680B60"/>
    <w:rsid w:val="00683A23"/>
    <w:rsid w:val="0068455E"/>
    <w:rsid w:val="0068666A"/>
    <w:rsid w:val="00686758"/>
    <w:rsid w:val="00693578"/>
    <w:rsid w:val="006961D9"/>
    <w:rsid w:val="0069639F"/>
    <w:rsid w:val="00696437"/>
    <w:rsid w:val="006973B1"/>
    <w:rsid w:val="006A1C78"/>
    <w:rsid w:val="006A4AA4"/>
    <w:rsid w:val="006A642A"/>
    <w:rsid w:val="006B7F5A"/>
    <w:rsid w:val="006C2D4B"/>
    <w:rsid w:val="006D5299"/>
    <w:rsid w:val="006D5724"/>
    <w:rsid w:val="007033AD"/>
    <w:rsid w:val="00703FCD"/>
    <w:rsid w:val="00704A0D"/>
    <w:rsid w:val="00711909"/>
    <w:rsid w:val="00711B25"/>
    <w:rsid w:val="00712430"/>
    <w:rsid w:val="00714622"/>
    <w:rsid w:val="0071587F"/>
    <w:rsid w:val="00715CF8"/>
    <w:rsid w:val="00715E6C"/>
    <w:rsid w:val="00716426"/>
    <w:rsid w:val="007265CD"/>
    <w:rsid w:val="00734185"/>
    <w:rsid w:val="00735498"/>
    <w:rsid w:val="0074233A"/>
    <w:rsid w:val="0074321D"/>
    <w:rsid w:val="00744A6E"/>
    <w:rsid w:val="00746723"/>
    <w:rsid w:val="00752B5C"/>
    <w:rsid w:val="00756BCD"/>
    <w:rsid w:val="00765767"/>
    <w:rsid w:val="007711C1"/>
    <w:rsid w:val="0077356F"/>
    <w:rsid w:val="007749CB"/>
    <w:rsid w:val="007800FA"/>
    <w:rsid w:val="00783F9F"/>
    <w:rsid w:val="007867CD"/>
    <w:rsid w:val="00791C65"/>
    <w:rsid w:val="00791D36"/>
    <w:rsid w:val="007957FE"/>
    <w:rsid w:val="00796A2F"/>
    <w:rsid w:val="007A127D"/>
    <w:rsid w:val="007A475C"/>
    <w:rsid w:val="007D3DAB"/>
    <w:rsid w:val="007D456C"/>
    <w:rsid w:val="007E6224"/>
    <w:rsid w:val="007F76EE"/>
    <w:rsid w:val="007F7B76"/>
    <w:rsid w:val="00800444"/>
    <w:rsid w:val="00806658"/>
    <w:rsid w:val="0081163F"/>
    <w:rsid w:val="00814E51"/>
    <w:rsid w:val="0083337D"/>
    <w:rsid w:val="00845752"/>
    <w:rsid w:val="008517BB"/>
    <w:rsid w:val="008633B0"/>
    <w:rsid w:val="00863C83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A780F"/>
    <w:rsid w:val="008B53DD"/>
    <w:rsid w:val="008B6A30"/>
    <w:rsid w:val="008C7FA1"/>
    <w:rsid w:val="008E0439"/>
    <w:rsid w:val="008F14F3"/>
    <w:rsid w:val="008F4864"/>
    <w:rsid w:val="00900AB6"/>
    <w:rsid w:val="00907578"/>
    <w:rsid w:val="00912A24"/>
    <w:rsid w:val="0092065E"/>
    <w:rsid w:val="00937CDE"/>
    <w:rsid w:val="00953B44"/>
    <w:rsid w:val="00955770"/>
    <w:rsid w:val="0095691F"/>
    <w:rsid w:val="00966F2F"/>
    <w:rsid w:val="0097383C"/>
    <w:rsid w:val="009847D6"/>
    <w:rsid w:val="009865F0"/>
    <w:rsid w:val="00987D69"/>
    <w:rsid w:val="00987E99"/>
    <w:rsid w:val="00990DE4"/>
    <w:rsid w:val="00997782"/>
    <w:rsid w:val="009A5751"/>
    <w:rsid w:val="009A6032"/>
    <w:rsid w:val="009A7B5C"/>
    <w:rsid w:val="009B14A4"/>
    <w:rsid w:val="009B1907"/>
    <w:rsid w:val="009C0680"/>
    <w:rsid w:val="009C468B"/>
    <w:rsid w:val="009C697D"/>
    <w:rsid w:val="009D4358"/>
    <w:rsid w:val="009D49B9"/>
    <w:rsid w:val="009E09D7"/>
    <w:rsid w:val="009E1DEC"/>
    <w:rsid w:val="009E25A6"/>
    <w:rsid w:val="009E64E1"/>
    <w:rsid w:val="009F2343"/>
    <w:rsid w:val="009F377C"/>
    <w:rsid w:val="00A10F24"/>
    <w:rsid w:val="00A12279"/>
    <w:rsid w:val="00A24053"/>
    <w:rsid w:val="00A25059"/>
    <w:rsid w:val="00A37030"/>
    <w:rsid w:val="00A3777E"/>
    <w:rsid w:val="00A553B3"/>
    <w:rsid w:val="00A56654"/>
    <w:rsid w:val="00A62ACB"/>
    <w:rsid w:val="00A6499D"/>
    <w:rsid w:val="00A80FED"/>
    <w:rsid w:val="00A81063"/>
    <w:rsid w:val="00A8470D"/>
    <w:rsid w:val="00A85221"/>
    <w:rsid w:val="00A87DD2"/>
    <w:rsid w:val="00A97B84"/>
    <w:rsid w:val="00AA37EE"/>
    <w:rsid w:val="00AA53B1"/>
    <w:rsid w:val="00AA595D"/>
    <w:rsid w:val="00AB6168"/>
    <w:rsid w:val="00AC1FDA"/>
    <w:rsid w:val="00AC4C15"/>
    <w:rsid w:val="00AC7B2B"/>
    <w:rsid w:val="00AE001A"/>
    <w:rsid w:val="00AE01B0"/>
    <w:rsid w:val="00AE5B2D"/>
    <w:rsid w:val="00AF185C"/>
    <w:rsid w:val="00AF276D"/>
    <w:rsid w:val="00AF6B85"/>
    <w:rsid w:val="00B00DBE"/>
    <w:rsid w:val="00B0620F"/>
    <w:rsid w:val="00B10A36"/>
    <w:rsid w:val="00B11776"/>
    <w:rsid w:val="00B12F05"/>
    <w:rsid w:val="00B1658A"/>
    <w:rsid w:val="00B25EC1"/>
    <w:rsid w:val="00B30A17"/>
    <w:rsid w:val="00B31250"/>
    <w:rsid w:val="00B32BA2"/>
    <w:rsid w:val="00B33021"/>
    <w:rsid w:val="00B3362E"/>
    <w:rsid w:val="00B3511B"/>
    <w:rsid w:val="00B35B37"/>
    <w:rsid w:val="00B47D38"/>
    <w:rsid w:val="00B513B5"/>
    <w:rsid w:val="00B55C15"/>
    <w:rsid w:val="00B61209"/>
    <w:rsid w:val="00B63902"/>
    <w:rsid w:val="00B709D0"/>
    <w:rsid w:val="00B7164E"/>
    <w:rsid w:val="00B74118"/>
    <w:rsid w:val="00B81ADF"/>
    <w:rsid w:val="00B85EEC"/>
    <w:rsid w:val="00B90307"/>
    <w:rsid w:val="00B94381"/>
    <w:rsid w:val="00BC1330"/>
    <w:rsid w:val="00BC33BD"/>
    <w:rsid w:val="00BC5AFB"/>
    <w:rsid w:val="00BD0877"/>
    <w:rsid w:val="00BD419B"/>
    <w:rsid w:val="00BD4A51"/>
    <w:rsid w:val="00BD4DA9"/>
    <w:rsid w:val="00BE13A7"/>
    <w:rsid w:val="00BF1A26"/>
    <w:rsid w:val="00C00639"/>
    <w:rsid w:val="00C01866"/>
    <w:rsid w:val="00C111EE"/>
    <w:rsid w:val="00C126FB"/>
    <w:rsid w:val="00C13043"/>
    <w:rsid w:val="00C2050C"/>
    <w:rsid w:val="00C368D2"/>
    <w:rsid w:val="00C42E2A"/>
    <w:rsid w:val="00C45C45"/>
    <w:rsid w:val="00C668B0"/>
    <w:rsid w:val="00C773DA"/>
    <w:rsid w:val="00C807E9"/>
    <w:rsid w:val="00C87E4B"/>
    <w:rsid w:val="00C91942"/>
    <w:rsid w:val="00CA2F83"/>
    <w:rsid w:val="00CA3153"/>
    <w:rsid w:val="00CB6294"/>
    <w:rsid w:val="00CC184B"/>
    <w:rsid w:val="00CC4DB9"/>
    <w:rsid w:val="00CC7659"/>
    <w:rsid w:val="00CE1C5F"/>
    <w:rsid w:val="00CF2B0B"/>
    <w:rsid w:val="00CF6E5D"/>
    <w:rsid w:val="00D015E2"/>
    <w:rsid w:val="00D07EE7"/>
    <w:rsid w:val="00D13EA1"/>
    <w:rsid w:val="00D14B14"/>
    <w:rsid w:val="00D179D9"/>
    <w:rsid w:val="00D24A49"/>
    <w:rsid w:val="00D3213C"/>
    <w:rsid w:val="00D328D1"/>
    <w:rsid w:val="00D3492C"/>
    <w:rsid w:val="00D419F2"/>
    <w:rsid w:val="00D41A41"/>
    <w:rsid w:val="00D72AA5"/>
    <w:rsid w:val="00D761DA"/>
    <w:rsid w:val="00D8359F"/>
    <w:rsid w:val="00D85B44"/>
    <w:rsid w:val="00D90139"/>
    <w:rsid w:val="00D914E9"/>
    <w:rsid w:val="00DA69D4"/>
    <w:rsid w:val="00DB090D"/>
    <w:rsid w:val="00DB19CF"/>
    <w:rsid w:val="00DC4C6C"/>
    <w:rsid w:val="00DC7E1B"/>
    <w:rsid w:val="00DD4F58"/>
    <w:rsid w:val="00DE04DF"/>
    <w:rsid w:val="00DE422B"/>
    <w:rsid w:val="00DE42F2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44C8"/>
    <w:rsid w:val="00E57E1B"/>
    <w:rsid w:val="00E61C87"/>
    <w:rsid w:val="00E66E3B"/>
    <w:rsid w:val="00E715B6"/>
    <w:rsid w:val="00E7223B"/>
    <w:rsid w:val="00E73E79"/>
    <w:rsid w:val="00E745BB"/>
    <w:rsid w:val="00E776CF"/>
    <w:rsid w:val="00E807C4"/>
    <w:rsid w:val="00E834BB"/>
    <w:rsid w:val="00E86ADB"/>
    <w:rsid w:val="00E8791B"/>
    <w:rsid w:val="00E91FA6"/>
    <w:rsid w:val="00E92A97"/>
    <w:rsid w:val="00E962BA"/>
    <w:rsid w:val="00EA625A"/>
    <w:rsid w:val="00EA6401"/>
    <w:rsid w:val="00EA775F"/>
    <w:rsid w:val="00EB1D84"/>
    <w:rsid w:val="00EB1F00"/>
    <w:rsid w:val="00EB23BE"/>
    <w:rsid w:val="00EB3397"/>
    <w:rsid w:val="00EC523C"/>
    <w:rsid w:val="00EC5470"/>
    <w:rsid w:val="00EC7B32"/>
    <w:rsid w:val="00EC7D07"/>
    <w:rsid w:val="00ED1AC8"/>
    <w:rsid w:val="00ED46AA"/>
    <w:rsid w:val="00EE0608"/>
    <w:rsid w:val="00EE1B77"/>
    <w:rsid w:val="00EE402E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81A98"/>
    <w:rsid w:val="00F822BF"/>
    <w:rsid w:val="00F8279D"/>
    <w:rsid w:val="00F83608"/>
    <w:rsid w:val="00F93AEA"/>
    <w:rsid w:val="00FA793E"/>
    <w:rsid w:val="00FC7C18"/>
    <w:rsid w:val="00FD2FB2"/>
    <w:rsid w:val="00FD4482"/>
    <w:rsid w:val="00FD65CD"/>
    <w:rsid w:val="00FE471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79"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aliases w:val="adres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7BCF-B864-42D4-855E-F0CD2410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5131</Words>
  <Characters>30789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35849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4</cp:revision>
  <cp:lastPrinted>2019-12-11T13:33:00Z</cp:lastPrinted>
  <dcterms:created xsi:type="dcterms:W3CDTF">2020-01-24T12:05:00Z</dcterms:created>
  <dcterms:modified xsi:type="dcterms:W3CDTF">2020-01-24T12:11:00Z</dcterms:modified>
</cp:coreProperties>
</file>