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D914E9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</w:pPr>
      <w:bookmarkStart w:id="0" w:name="_Toc451855553"/>
      <w:bookmarkStart w:id="1" w:name="_Toc451858270"/>
      <w:bookmarkStart w:id="2" w:name="_Toc451858784"/>
      <w:bookmarkStart w:id="3" w:name="_Toc466903377"/>
      <w:r w:rsidRPr="00D914E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 xml:space="preserve">Załącznik nr 1 do OPZ </w:t>
      </w:r>
      <w:r w:rsidR="00D914E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>po zmianie z dnia 22.01.2020 r.</w:t>
      </w:r>
    </w:p>
    <w:bookmarkEnd w:id="0"/>
    <w:bookmarkEnd w:id="1"/>
    <w:bookmarkEnd w:id="2"/>
    <w:bookmarkEnd w:id="3"/>
    <w:p w:rsidR="00D3492C" w:rsidRPr="00796A2F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ramach </w:t>
      </w:r>
      <w:r w:rsidR="00552285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poszczególnych 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zamówień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 </w:t>
      </w:r>
    </w:p>
    <w:p w:rsidR="00765767" w:rsidRPr="00796A2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opracowanie dokumentacji projektowej stanowiska do bezodbiciowego badania pól elektromagnetycznych od urządzeń i systemów techniki morskiej wraz z dostawą, montażem, uruchomieniem stanowiska </w:t>
      </w:r>
      <w:r w:rsidR="00712430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</w:t>
      </w: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0409AF" w:rsidRPr="00796A2F" w:rsidRDefault="000409AF" w:rsidP="0076576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obejmuje swoim zakresem 3</w:t>
      </w:r>
      <w:r w:rsidR="00CC184B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(trzy) części</w:t>
      </w:r>
      <w:r w:rsidR="00765767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w podziale na „zamówienia gwarantowane” i „zamówienia opcjonalne”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, tj.:</w:t>
      </w:r>
    </w:p>
    <w:p w:rsidR="000409AF" w:rsidRPr="00796A2F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</w:p>
    <w:p w:rsidR="00D3492C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komora 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(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sac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10m) wraz ze zbiornikiem pomiarowym</w:t>
      </w: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  aktualnych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  oraz NO-06-A200/A500,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  aktualnej normy  EN 61000-4-3,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 oraz  NO-06-A200/A500 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elektryczne,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pracujące w środowisku wodnym,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796A2F" w:rsidRPr="00B85EEC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 komory (zewnętrzne  wymiary ekranu 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179D9" w:rsidRPr="00D179D9" w:rsidRDefault="00A97B84" w:rsidP="00D179D9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hAnsi="Myriad Pro Light SemiExt"/>
                <w:b/>
                <w:color w:val="FF000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 (zewnętrzny wymiar ekranu): 22m x 13,0m x 9m,  wynikający z projektu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Budowa hali laboratoryjnej i stanowiska do badań pól magnetycznych wraz z niezbędną infrastrukturą te</w:t>
            </w:r>
            <w:r w:rsidRPr="00D179D9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chniczną”. 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Jednocześnie określa się m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inimalne wymiary wewnętrzne komory </w:t>
            </w:r>
            <w:r w:rsidR="000047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(mierzony pomiędzy największymi absorberami ściennymi z nakładkami oraz największym absorberem sufitowym z nakładka a podłogą podniesioną)  na 20m x 11m x 7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Rozwiązania projektowe zewnętrznej konstrukcji  wsporczej oraz innych elementów zewnętrznych mocowanych na konstrukcji muszą być uzgodnione z Wykonawcą dokumentacji projektowej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 stanowiska do badań pól magnetycznych wraz z niezbędną infrastrukturą techniczną”.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  <w:r w:rsidR="00657D2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  <w:p w:rsidR="00271B84" w:rsidRPr="00583750" w:rsidRDefault="00271B84" w:rsidP="003D747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83750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Zwraca się uwagę, iż </w:t>
            </w:r>
            <w:r w:rsidR="003D7471" w:rsidRPr="00583750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na klasę odporności pożarowej obiektu (w którym będzie umieszczona komora) w części jednokondygnacyjnej ZLIII:  </w:t>
            </w:r>
            <w:r w:rsidRPr="00583750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podniesiona do 50cm  (poziom podłogi w komorze na poziomie posadzki laboratorium z uwzględnieniem możliwości zamknięcia drzwi do komory). Wysokość podniesienia musi umożliwiać zabudowę infrastruktur kablowej i silnika stołu obrotowego znajdujących się pod ww. 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A97B84" w:rsidRPr="00796A2F" w:rsidRDefault="00A97B84" w:rsidP="00AA595D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zastosowanie Lamp LED  (</w:t>
            </w:r>
            <w:r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gwarantujących, że nie będą zaburzać pomiarów emisji urządzeń wg. standardu TEMPEST)</w:t>
            </w:r>
            <w:r w:rsidRPr="00796A2F">
              <w:rPr>
                <w:rFonts w:ascii="Myriad Pro Light SemiExt" w:hAnsi="Myriad Pro Light SemiExt"/>
                <w:sz w:val="20"/>
                <w:szCs w:val="20"/>
              </w:rPr>
              <w:t xml:space="preserve"> w ilości sztuk 4  na osobnym włączniku oraz przewodzie zasilającym wraz z min. 8 lampami halogenowymi na osobnym włączniku oraz przewodzie zasilającym. Lampy </w:t>
            </w:r>
            <w:r w:rsidRPr="00796A2F">
              <w:rPr>
                <w:rFonts w:ascii="Myriad Pro Light SemiExt" w:hAnsi="Myriad Pro Light SemiExt"/>
                <w:sz w:val="20"/>
                <w:szCs w:val="20"/>
              </w:rPr>
              <w:lastRenderedPageBreak/>
              <w:t>LED oraz Halogenowe muszą pracować niezależnie od siebie.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się  możliwość zastosowania drzwi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drzwi,  który umożliwi integrację ze wzmacniaczami w pomieszczeniu AR/CR i ich wyłączenie w przypadku otwarcia drzwi. Przewody sygnału kontroli otwartych drzwi  muszą być wprowadzone do pomieszczenia AR/CR w sposób szczelny elektromagnetycznie,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3m ÷ 3,5m -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Dopuszcza się możliwość instalacji drzwi przesuwnych. Możliwość zastosowania tego rozwiązanie nie może skutkować koniecznością zmian konstrukcji budynku laboratorium (np. filarów nośnych – ich lokalizacja </w:t>
            </w:r>
            <w:r w:rsidR="003401D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według dokumentacji budowlanej budynku znajduje się w bliskiej odległości od skrajni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drogi wjazdu do budynku i komory).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 średnicy min. 5m,  max. 5,5m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stołu wraz z oprogramowaniem, wyposażony w interfejs  umożliwiający jego zdalną obsługę,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400V/100A, gniazdo DC).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 z tolerancją do kilku procent wynikająca z zapisów odpowiednich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  i wysokości 80cm z tolerancją do kilku procent wynikająca z zapisów odpowiednich Norm,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Wykonanie zgodnie z wymaganiami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pion/poziom min 40x zoomem optycznym. Dopuszcza się zoom x 30 przy pracy kamery w standardzie Full-HD,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1638" w:rsidRPr="006D5299" w:rsidRDefault="00271638" w:rsidP="00271638">
            <w:pPr>
              <w:spacing w:after="0" w:line="288" w:lineRule="auto"/>
              <w:jc w:val="both"/>
              <w:rPr>
                <w:rFonts w:ascii="Myriad Pro Light SemiExt" w:hAnsi="Myriad Pro Light SemiExt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panele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wentylacyjnych (40 GHz, min 300mm x 300mm – z tolerancją do 10 % lub większego wymiaru typoszeregu dla paneli - </w:t>
            </w:r>
            <w:r w:rsidR="00A97B84"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z uwagą, iż całkowita powierzchnia odprowadzenia powietrza musi być identyczna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. </w:t>
            </w:r>
            <w:r w:rsidRPr="006D5299">
              <w:rPr>
                <w:rFonts w:ascii="Myriad Pro Light SemiExt" w:hAnsi="Myriad Pro Light SemiExt"/>
                <w:color w:val="FF0000"/>
                <w:sz w:val="20"/>
                <w:szCs w:val="20"/>
              </w:rPr>
              <w:t>Ilości paneli wentylacyjnych powinna być tak dobrana, aby spełnione były  wymagań środowiskowych w całej przestrzeni komory, tj. 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wyposażone w kołnierze umożliwiającego połączenie do instalacji budynku (projekt realizowany przez Wykonawcę dokumentacji projektowej Inwestycji)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16A,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- 1x  filtr zasilający DC (400VDC / 32A, 2 linie) dla zasilania DC,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Wymaga się całkowitego pokrycia absorberami piramidalnymi ścian i sufitów.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Dopuszcza się stosowania absorberów opartych na innych materiałach np.: na polistyrenie,  pod warunkiem</w:t>
            </w:r>
            <w:r w:rsidR="00D321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że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są odpowiednie do spełnienia wymagań norm wskazanych w Części 1, 2, 3 i 4 wymienionych w niniejszym załączniku do OPZ. Zakres pomiarowy emisji promieniowanych od 10kHz do 40GHz (włącznie).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wózki do składowania wszystkich absorberów do ułożenia na podłodze przywołanych powyżej,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TEMPEST)– ilość kompletów: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rozbudowy o kolejne  2 konwertery,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paneli przejściowych min. 400 mm x 400 mm z przykręconą  płytką i pokrywą ferrytową,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zamykanych paneli podłogowych w komorze min 400mm x 400mm,–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Gniazdo zasilania AC 400V/100A trójfazowe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796A2F" w:rsidRPr="00796A2F" w:rsidTr="00AA595D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 max 120mm.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 zgodnie z odpowiednimi przepisami w tym zakresie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 Powyższa funkcjonalność powinna mieć  również miejsce w obszarze gazów (np. ozonu).</w:t>
            </w:r>
          </w:p>
          <w:p w:rsidR="000B7011" w:rsidRPr="00796A2F" w:rsidRDefault="000B7011" w:rsidP="000B701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Przyjmuje jako podstawową listę gazów: Ozon, CO, CO2, LPG, tlenek azotu. Jednocześnie system detekcji powinien umożliwiać włączenie min. 2 dodatkowych czujników gazów nie wymienionych powyżej.  </w:t>
            </w:r>
          </w:p>
        </w:tc>
      </w:tr>
      <w:tr w:rsidR="00796A2F" w:rsidRPr="00796A2F" w:rsidTr="00AA595D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796A2F" w:rsidRPr="00796A2F" w:rsidTr="00AA595D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r w:rsidR="0068666A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(w tym automatycznie odcinający dopływ wody do komory po upływie określonego czasu)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zabezpieczający przed zalaniem komory wodą, czujnik wilgotności,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796A2F" w:rsidRPr="00796A2F" w:rsidTr="00AA595D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urządzenia zapewniające klimatyzację (stałe warunki atmosferyczne wewnątrz komory oraz pomieszczeniach AR i CR),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A97B84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  <w:p w:rsidR="000A2971" w:rsidRPr="006D5299" w:rsidRDefault="000A2971" w:rsidP="000A2971">
            <w:pPr>
              <w:spacing w:after="0" w:line="288" w:lineRule="auto"/>
              <w:jc w:val="both"/>
              <w:rPr>
                <w:rFonts w:ascii="Myriad Pro Light SemiExt" w:hAnsi="Myriad Pro Light SemiExt"/>
                <w:color w:val="FF0000"/>
                <w:sz w:val="20"/>
                <w:szCs w:val="20"/>
              </w:rPr>
            </w:pPr>
            <w:r w:rsidRPr="006D5299">
              <w:rPr>
                <w:rFonts w:ascii="Myriad Pro Light SemiExt" w:hAnsi="Myriad Pro Light SemiExt"/>
                <w:color w:val="FF0000"/>
                <w:sz w:val="20"/>
                <w:szCs w:val="20"/>
              </w:rPr>
              <w:t>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Pomieszczenie do zainstalowania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min. 4,0m x 2,5m x 3,0m, (długość x szerokość x wysokość) z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  - 2 szt. Umożliwiające postawienie wymaganej dla związanego z elementem Stanowiska/Stanowiska osprzętem i przestrzeni dla swobodnego czytania dokumentów i tworzenia notatek .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 z max zwiększeniem wymiarów do 10%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300mm,  max. +10%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o wymiarach 2,5m x 1,5m x 1,5m (głębokość), z tolerancją do 5%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wyposażony w uziemienie zgodnie z MIL-STD-461, na dnie zbiornika z możliwością demontażu,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8A780F" w:rsidRDefault="00A97B84" w:rsidP="00AA595D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t xml:space="preserve">Zabezpieczenie </w:t>
            </w: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4"/>
                <w:szCs w:val="24"/>
              </w:rPr>
              <w:t xml:space="preserve"> </w:t>
            </w: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t>Komory  przed zalaniem i uszkodzeniem mechanicznym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A97B84" w:rsidRPr="00796A2F" w:rsidRDefault="00A97B84" w:rsidP="008A780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Wokół zadaszenia powinien znajdować się </w:t>
            </w:r>
            <w:r w:rsidRPr="00796A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</w:t>
            </w:r>
            <w:r w:rsid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zbierający wodę z zadaszenia </w:t>
            </w:r>
            <w:r w:rsidR="008A780F" w:rsidRP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i odprowadzający </w:t>
            </w:r>
            <w:r w:rsid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ją</w:t>
            </w:r>
            <w:r w:rsidR="008A780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 wykonanego w ramach realizacji budynku systemu odwodnienia. Zadaszenie powinni obejmować min. 50 cm większy obszar niż wynika z rzutu poziomego komory.</w:t>
            </w:r>
          </w:p>
        </w:tc>
      </w:tr>
    </w:tbl>
    <w:p w:rsidR="0052233C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UWAGA!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W Części 1 Zamawiający nie przewiduje „zamówienia opcjonalnego”</w:t>
      </w:r>
    </w:p>
    <w:p w:rsidR="00DA69D4" w:rsidRPr="00796A2F" w:rsidRDefault="00DA69D4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CZEŚĆ 2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 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796A2F" w:rsidRPr="00B85EEC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lastRenderedPageBreak/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posiada złącze BNC 50 Ohm lub złącze N- antena przystosowana do montażu na statywie,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A97B84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7800FA" w:rsidRPr="007800FA" w:rsidRDefault="007800FA" w:rsidP="007800FA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</w:pPr>
            <w:r w:rsidRPr="007800FA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obracania anteny na statywie w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  <w:r w:rsidR="004268C9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,</w:t>
            </w:r>
          </w:p>
          <w:p w:rsidR="004268C9" w:rsidRPr="00796A2F" w:rsidRDefault="004268C9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możliwość zmiany polaryzacji z pomieszczenia CR.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A97B84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28D1" w:rsidRPr="00796A2F" w:rsidRDefault="00D328D1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D328D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- zdalne sterowanie w pomieszczeniu CR (z odbiornika pomiarowego  oraz oprogramowania)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4268C9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</w:p>
          <w:p w:rsidR="00A97B84" w:rsidRPr="00D328D1" w:rsidRDefault="004268C9" w:rsidP="006240E3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 zdalne sterowanie w pomieszczeniu CR </w:t>
            </w:r>
            <w:r w:rsidR="00D328D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(z odbiornika pomiarowego  oraz oprogramowania)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 lub zestaw wzmacniaczy obejmujący zakres  od 9kHz do 40GHz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możliwość analizy o obróbki danych na 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niezależnych min. 2 stacjach roboczych</w:t>
            </w:r>
          </w:p>
          <w:p w:rsidR="00094426" w:rsidRPr="00796A2F" w:rsidRDefault="00A97B84" w:rsidP="0009442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  <w:p w:rsidR="00DD4F58" w:rsidRPr="00796A2F" w:rsidRDefault="00094426" w:rsidP="00094426">
            <w:pPr>
              <w:spacing w:before="120" w:after="120" w:line="240" w:lineRule="auto"/>
              <w:jc w:val="both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Wymaga się zapewnienie automatycznego pomiaru emisji, poprzez zapewnienie automatyki stołu i masztu a także automatyki procesu pomiarowego (pomiar wstępny, selekcja częstotliwości krytycznych dla różnych ustawień masztu i stołu, pomiar końcowy dla wybranych punktów krytycznych).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3Hz do 44GHz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umożliwiający pomiar w czasie rzeczywistym o  minimalnej szerokość okna pomiarowego 80MHz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Dostarczony odbiornik musi zapewniać pełną zgodność (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full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compliance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) z przedstawionymi w OPZ szczegółowymi wymaganiami. Powyższe musi znaleźć odzwierciedlenia w przedłożonych dla niego  dokumentach, w tym w świadectwie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5D7EE6" w:rsidRPr="00796A2F" w:rsidRDefault="005D7EE6" w:rsidP="00A97B84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  <w:p w:rsidR="00252CF8" w:rsidRPr="00796A2F" w:rsidRDefault="00252CF8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wzorcowanie</w:t>
            </w:r>
          </w:p>
        </w:tc>
      </w:tr>
    </w:tbl>
    <w:p w:rsidR="0052233C" w:rsidRPr="00796A2F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C13043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 (opcjonalnie) , CDMA,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CMMB, FM Stereo.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obsługa standardu UMTS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  <w:p w:rsidR="005D7EE6" w:rsidRPr="00796A2F" w:rsidRDefault="005D7EE6" w:rsidP="000A26E6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W zakresie wymienionych standardów, oczekuje się dostawy testera posiadającego typowe/podstawowe wersje np. LTE </w:t>
            </w:r>
            <w:proofErr w:type="spellStart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revision</w:t>
            </w:r>
            <w:proofErr w:type="spellEnd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 8.  Tester   powinien zaś mieć możliwość rozbudowy sprzętowej I programowej do nowszych i wyższych wersji.  Przywołana powyżej sytuacja (możliwość rozbudowy) musi mieć miejsce również w każdym urządzeniu w przypadku dostawy zestawu testerów.</w:t>
            </w:r>
          </w:p>
        </w:tc>
      </w:tr>
    </w:tbl>
    <w:p w:rsidR="005D7EE6" w:rsidRPr="00796A2F" w:rsidRDefault="005D7EE6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3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 kHz do 18 GHz zgodnie z MIL-STD-461</w:t>
            </w:r>
          </w:p>
          <w:p w:rsidR="00294542" w:rsidRPr="00294542" w:rsidRDefault="00294542" w:rsidP="0029454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- 2</w:t>
            </w:r>
            <w:r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0V/m  w  zakresie od 26MHz do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80M</w:t>
            </w:r>
            <w:r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Hz zgodnie z PN-EN 61000-4-3</w:t>
            </w:r>
          </w:p>
          <w:p w:rsidR="00294542" w:rsidRPr="00796A2F" w:rsidRDefault="00294542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- 30V/m  w  zakresie od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MHz do 6GHz zgodnie z PN-EN 61000-4-3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Powinna istnieć możliwość rozbudowy systemu do 40GHz poprzez doposażenie nie zaś wymianę części elementów.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B6120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4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B61209" w:rsidRPr="00B6120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k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Hz do 18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18 GHz</w:t>
            </w:r>
          </w:p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</w:t>
            </w:r>
            <w:r w:rsidR="006961D9"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26MHz do </w:t>
            </w:r>
            <w:r w:rsidR="006961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80M</w:t>
            </w:r>
            <w:r w:rsidR="006961D9"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Hz</w:t>
            </w:r>
            <w:r w:rsid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20V/m z 3 metrów oraz od </w:t>
            </w:r>
            <w:r w:rsidR="00D72AA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80MHz do 6GHz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30 V/m z 3 metrów,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9D4358" w:rsidRP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D72AA5" w:rsidRP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metra 50 V/m  w zakresie od 10kHz do 18GHz zgodnie z MIL-STD-461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18GHz,</w:t>
            </w:r>
          </w:p>
          <w:p w:rsidR="00A97B84" w:rsidRPr="00796A2F" w:rsidRDefault="00EB1F00" w:rsidP="00EB1F00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26MHz-6GHz,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antenowy AF  max do 24dB/m dla 1GHz przy odległości 3 m.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18 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pomiarowy do </w:t>
            </w:r>
            <w:r w:rsidR="00EB1F00"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18</w:t>
            </w: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 GHz,</w:t>
            </w:r>
          </w:p>
          <w:p w:rsidR="00A97B84" w:rsidRPr="00796A2F" w:rsidRDefault="009B14A4" w:rsidP="009B14A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A97B84" w:rsidRPr="00796A2F" w:rsidRDefault="00AA37EE" w:rsidP="00AA37EE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EA775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 xml:space="preserve">w płaszczyźnie pomiarowej1,5m x 1,5m pole mierzone w odległości 3m od anteny nadawczej powinno wykazywać jednorodność z tolerancją  (-0dB ÷ +6dB): dla wszystkich punktów pomiarowych (16) w  zakresie </w:t>
            </w:r>
            <w:r w:rsidR="00EA775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MHz – 1GHz oraz dla 75% punktów pomiarowych (12) w  zakresie częstotliwości1GHz – 6GHz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EE402E" w:rsidRPr="00796A2F" w:rsidRDefault="00EE402E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2C37DB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obejmuje 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 xml:space="preserve">Pomiar odporności promieniowej </w:t>
      </w:r>
      <w:r w:rsidR="002C37DB" w:rsidRPr="00796A2F">
        <w:rPr>
          <w:rFonts w:ascii="Myriad Pro Light SemiExt" w:eastAsia="Calibri" w:hAnsi="Myriad Pro Light SemiExt" w:cs="Arial"/>
          <w:sz w:val="24"/>
          <w:szCs w:val="24"/>
        </w:rPr>
        <w:t>w zakresie od 18 GHz do 40 GHz zgodnie z MIL-STD-461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>), który składa się z: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Oczekiwane parametry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D4482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18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 zgodnie z MIL-STD-461</w:t>
            </w:r>
          </w:p>
          <w:p w:rsidR="00F81A98" w:rsidRPr="00796A2F" w:rsidRDefault="00FD4482" w:rsidP="00FD4482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Rozbudowa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systemu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zakresie 18GHz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40GHz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powinna  odbyć się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poprzez doposażenie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elementów ujętych w „zamówieniu gwarantowanym”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ie zaś ich wymianę.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9D435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 metra 50 V/m  w zakresie od 1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 zgodnie z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dopuszcza się wzmacniacz zintegrowany z anteną.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dopuszcza się sprzęgacz wbudowany w wzmacniacz.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18 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 anteny zgodnie z testami  wg.  MIL-STD-461.</w:t>
            </w:r>
          </w:p>
          <w:p w:rsidR="00F81A98" w:rsidRPr="00796A2F" w:rsidRDefault="00365038" w:rsidP="0036503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734185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pomiarowy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594B6D" w:rsidP="00594B6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Oprogramowanie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F81A98" w:rsidRPr="00796A2F" w:rsidRDefault="00594B6D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zainstalowane na dostarczonym w ramach „zamówienia gwarantowanego” komputerze.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725C9" w:rsidRPr="00796A2F" w:rsidRDefault="000725C9" w:rsidP="00402676">
      <w:pPr>
        <w:spacing w:before="120" w:after="120"/>
        <w:contextualSpacing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u w:val="single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 xml:space="preserve">ZADANIE NR 2 </w:t>
      </w:r>
    </w:p>
    <w:p w:rsidR="00402676" w:rsidRPr="00796A2F" w:rsidRDefault="000409AF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opracowanie dokumentacji projektowej stanowiska do badania odporności urządzeń i systemów techniki morskiej na oddziaływanie pól elektromagnetycznych impulsowych wysokiej mocy wraz z dostawą, montażem, uruchomieniem stanowiska i pełnieniem nadzoru autorskiego. </w:t>
      </w: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Pr="00796A2F" w:rsidRDefault="000409AF" w:rsidP="00402676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Zadanie nr 2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obejmuje swoim zakresem Część 4 (czwartą) przedmiotu zamówienia, tj.:</w:t>
      </w:r>
    </w:p>
    <w:p w:rsidR="000409AF" w:rsidRPr="00796A2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 xml:space="preserve">CZĘŚĆ 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>4 -&gt;</w:t>
      </w:r>
    </w:p>
    <w:p w:rsidR="00D3492C" w:rsidRPr="00796A2F" w:rsidRDefault="00D3492C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do badania odporności urządzeń i systemów techniki morskiej na oddziaływanie pól elektromagnetycznych impulsowych wysokiej mocy (NEMP).</w:t>
      </w: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796A2F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796A2F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wskazanie naładowania i ustawienia napięcia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ładowania generatora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</w:tbl>
    <w:p w:rsidR="00EE402E" w:rsidRPr="00796A2F" w:rsidRDefault="00EE402E" w:rsidP="00EE402E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 (do badań poza Komorą)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namiot o wymiarach 2m x 2m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2645FA" w:rsidRPr="00796A2F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B85EEC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4" w:name="_GoBack"/>
      <w:bookmarkEnd w:id="4"/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sectPr w:rsidR="000725C9" w:rsidRPr="00796A2F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71" w:rsidRDefault="005D7171" w:rsidP="008F14F3">
      <w:pPr>
        <w:spacing w:after="0" w:line="240" w:lineRule="auto"/>
      </w:pPr>
      <w:r>
        <w:separator/>
      </w:r>
    </w:p>
  </w:endnote>
  <w:endnote w:type="continuationSeparator" w:id="0">
    <w:p w:rsidR="005D7171" w:rsidRDefault="005D7171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Default="006961D9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1E2FC3" wp14:editId="241B365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2FF792C" wp14:editId="5DD86C37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1D9" w:rsidRDefault="006961D9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71" w:rsidRDefault="005D7171" w:rsidP="008F14F3">
      <w:pPr>
        <w:spacing w:after="0" w:line="240" w:lineRule="auto"/>
      </w:pPr>
      <w:r>
        <w:separator/>
      </w:r>
    </w:p>
  </w:footnote>
  <w:footnote w:type="continuationSeparator" w:id="0">
    <w:p w:rsidR="005D7171" w:rsidRDefault="005D7171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Pr="00AE001A" w:rsidRDefault="006961D9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6961D9" w:rsidRDefault="006961D9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487B5" wp14:editId="40670A23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4BFCC352" wp14:editId="3ADDFC2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1E4192" wp14:editId="30C67819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8FA2CE0" wp14:editId="40986664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319CDC13" wp14:editId="69B3A542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BD7C572" wp14:editId="0FBE728B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D06F4" wp14:editId="78408AEA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047B8"/>
    <w:rsid w:val="000268D5"/>
    <w:rsid w:val="00031C50"/>
    <w:rsid w:val="000320B2"/>
    <w:rsid w:val="00036AC7"/>
    <w:rsid w:val="000409AF"/>
    <w:rsid w:val="0004337E"/>
    <w:rsid w:val="00057110"/>
    <w:rsid w:val="00063016"/>
    <w:rsid w:val="000636E8"/>
    <w:rsid w:val="00071D2B"/>
    <w:rsid w:val="000722B6"/>
    <w:rsid w:val="000725C9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A2971"/>
    <w:rsid w:val="000B00E6"/>
    <w:rsid w:val="000B1410"/>
    <w:rsid w:val="000B3227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6605"/>
    <w:rsid w:val="000F7FF6"/>
    <w:rsid w:val="001025B8"/>
    <w:rsid w:val="00110C3C"/>
    <w:rsid w:val="001141A5"/>
    <w:rsid w:val="001250C2"/>
    <w:rsid w:val="0012565E"/>
    <w:rsid w:val="0012703B"/>
    <w:rsid w:val="001476F6"/>
    <w:rsid w:val="00153AEC"/>
    <w:rsid w:val="00160DBC"/>
    <w:rsid w:val="00170066"/>
    <w:rsid w:val="00184BCD"/>
    <w:rsid w:val="00191BC2"/>
    <w:rsid w:val="00193744"/>
    <w:rsid w:val="00195121"/>
    <w:rsid w:val="001A4066"/>
    <w:rsid w:val="001A6622"/>
    <w:rsid w:val="001A7A0B"/>
    <w:rsid w:val="001B016D"/>
    <w:rsid w:val="001B2E4B"/>
    <w:rsid w:val="001C1381"/>
    <w:rsid w:val="001C15EE"/>
    <w:rsid w:val="001C6766"/>
    <w:rsid w:val="001D0990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1638"/>
    <w:rsid w:val="00271B84"/>
    <w:rsid w:val="00274A2A"/>
    <w:rsid w:val="00285959"/>
    <w:rsid w:val="00285A53"/>
    <w:rsid w:val="002876B7"/>
    <w:rsid w:val="00294542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E06EE"/>
    <w:rsid w:val="002E3CFB"/>
    <w:rsid w:val="002F06EF"/>
    <w:rsid w:val="002F6523"/>
    <w:rsid w:val="002F7DE0"/>
    <w:rsid w:val="00301E5C"/>
    <w:rsid w:val="00304162"/>
    <w:rsid w:val="00312042"/>
    <w:rsid w:val="0031337D"/>
    <w:rsid w:val="00315D02"/>
    <w:rsid w:val="00326302"/>
    <w:rsid w:val="00327517"/>
    <w:rsid w:val="00330ED4"/>
    <w:rsid w:val="003401D6"/>
    <w:rsid w:val="0034235E"/>
    <w:rsid w:val="00345B49"/>
    <w:rsid w:val="003462E2"/>
    <w:rsid w:val="003508CE"/>
    <w:rsid w:val="00350D92"/>
    <w:rsid w:val="00352718"/>
    <w:rsid w:val="00352CC3"/>
    <w:rsid w:val="00365038"/>
    <w:rsid w:val="003732A0"/>
    <w:rsid w:val="003950CE"/>
    <w:rsid w:val="003B08A4"/>
    <w:rsid w:val="003B243F"/>
    <w:rsid w:val="003B6D2D"/>
    <w:rsid w:val="003C0775"/>
    <w:rsid w:val="003C1696"/>
    <w:rsid w:val="003C29A9"/>
    <w:rsid w:val="003C3229"/>
    <w:rsid w:val="003C5027"/>
    <w:rsid w:val="003D2134"/>
    <w:rsid w:val="003D414D"/>
    <w:rsid w:val="003D7471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E4A34"/>
    <w:rsid w:val="004F444D"/>
    <w:rsid w:val="00500712"/>
    <w:rsid w:val="00502569"/>
    <w:rsid w:val="0051143D"/>
    <w:rsid w:val="00511E5F"/>
    <w:rsid w:val="00513E84"/>
    <w:rsid w:val="00521DAE"/>
    <w:rsid w:val="0052233C"/>
    <w:rsid w:val="00533A2B"/>
    <w:rsid w:val="005423B3"/>
    <w:rsid w:val="005426BC"/>
    <w:rsid w:val="00547C21"/>
    <w:rsid w:val="0055045E"/>
    <w:rsid w:val="0055125C"/>
    <w:rsid w:val="00551B4F"/>
    <w:rsid w:val="00552285"/>
    <w:rsid w:val="00554BE7"/>
    <w:rsid w:val="00564B66"/>
    <w:rsid w:val="005809AA"/>
    <w:rsid w:val="00583750"/>
    <w:rsid w:val="005855C5"/>
    <w:rsid w:val="00594B6D"/>
    <w:rsid w:val="005A7E92"/>
    <w:rsid w:val="005C1210"/>
    <w:rsid w:val="005D3B67"/>
    <w:rsid w:val="005D47DB"/>
    <w:rsid w:val="005D48F6"/>
    <w:rsid w:val="005D5A64"/>
    <w:rsid w:val="005D7171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7D24"/>
    <w:rsid w:val="006634C0"/>
    <w:rsid w:val="00666A8C"/>
    <w:rsid w:val="00667F10"/>
    <w:rsid w:val="00671F9D"/>
    <w:rsid w:val="00680B60"/>
    <w:rsid w:val="00683A23"/>
    <w:rsid w:val="0068455E"/>
    <w:rsid w:val="0068666A"/>
    <w:rsid w:val="00686758"/>
    <w:rsid w:val="00693578"/>
    <w:rsid w:val="006961D9"/>
    <w:rsid w:val="0069639F"/>
    <w:rsid w:val="00696437"/>
    <w:rsid w:val="006973B1"/>
    <w:rsid w:val="006A1C78"/>
    <w:rsid w:val="006A4AA4"/>
    <w:rsid w:val="006A642A"/>
    <w:rsid w:val="006B7F5A"/>
    <w:rsid w:val="006C2D4B"/>
    <w:rsid w:val="006D5299"/>
    <w:rsid w:val="006D5724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233A"/>
    <w:rsid w:val="0074321D"/>
    <w:rsid w:val="00744A6E"/>
    <w:rsid w:val="00746723"/>
    <w:rsid w:val="00752B5C"/>
    <w:rsid w:val="00756BCD"/>
    <w:rsid w:val="00765767"/>
    <w:rsid w:val="007711C1"/>
    <w:rsid w:val="0077356F"/>
    <w:rsid w:val="007749CB"/>
    <w:rsid w:val="007800FA"/>
    <w:rsid w:val="00783F9F"/>
    <w:rsid w:val="007867CD"/>
    <w:rsid w:val="00791C65"/>
    <w:rsid w:val="00791D36"/>
    <w:rsid w:val="007957FE"/>
    <w:rsid w:val="00796A2F"/>
    <w:rsid w:val="007A127D"/>
    <w:rsid w:val="007A475C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45752"/>
    <w:rsid w:val="008517BB"/>
    <w:rsid w:val="008633B0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A780F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5751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10F24"/>
    <w:rsid w:val="00A12279"/>
    <w:rsid w:val="00A24053"/>
    <w:rsid w:val="00A25059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B2D"/>
    <w:rsid w:val="00AF185C"/>
    <w:rsid w:val="00AF276D"/>
    <w:rsid w:val="00AF6B85"/>
    <w:rsid w:val="00B00DBE"/>
    <w:rsid w:val="00B0620F"/>
    <w:rsid w:val="00B10A36"/>
    <w:rsid w:val="00B11776"/>
    <w:rsid w:val="00B1658A"/>
    <w:rsid w:val="00B25EC1"/>
    <w:rsid w:val="00B30A17"/>
    <w:rsid w:val="00B31250"/>
    <w:rsid w:val="00B32BA2"/>
    <w:rsid w:val="00B33021"/>
    <w:rsid w:val="00B3362E"/>
    <w:rsid w:val="00B3511B"/>
    <w:rsid w:val="00B47D38"/>
    <w:rsid w:val="00B513B5"/>
    <w:rsid w:val="00B55C15"/>
    <w:rsid w:val="00B61209"/>
    <w:rsid w:val="00B63902"/>
    <w:rsid w:val="00B709D0"/>
    <w:rsid w:val="00B7164E"/>
    <w:rsid w:val="00B74118"/>
    <w:rsid w:val="00B81ADF"/>
    <w:rsid w:val="00B85EEC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2F83"/>
    <w:rsid w:val="00CA3153"/>
    <w:rsid w:val="00CB6294"/>
    <w:rsid w:val="00CC184B"/>
    <w:rsid w:val="00CC4DB9"/>
    <w:rsid w:val="00CC7659"/>
    <w:rsid w:val="00CE1C5F"/>
    <w:rsid w:val="00CF2B0B"/>
    <w:rsid w:val="00CF6E5D"/>
    <w:rsid w:val="00D015E2"/>
    <w:rsid w:val="00D07EE7"/>
    <w:rsid w:val="00D13EA1"/>
    <w:rsid w:val="00D14B14"/>
    <w:rsid w:val="00D179D9"/>
    <w:rsid w:val="00D24A49"/>
    <w:rsid w:val="00D3213C"/>
    <w:rsid w:val="00D328D1"/>
    <w:rsid w:val="00D3492C"/>
    <w:rsid w:val="00D419F2"/>
    <w:rsid w:val="00D41A41"/>
    <w:rsid w:val="00D72AA5"/>
    <w:rsid w:val="00D761DA"/>
    <w:rsid w:val="00D8359F"/>
    <w:rsid w:val="00D85B44"/>
    <w:rsid w:val="00D90139"/>
    <w:rsid w:val="00D914E9"/>
    <w:rsid w:val="00DA69D4"/>
    <w:rsid w:val="00DB090D"/>
    <w:rsid w:val="00DB19CF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07C4"/>
    <w:rsid w:val="00E834BB"/>
    <w:rsid w:val="00E86ADB"/>
    <w:rsid w:val="00E8791B"/>
    <w:rsid w:val="00E91FA6"/>
    <w:rsid w:val="00E92A97"/>
    <w:rsid w:val="00E962BA"/>
    <w:rsid w:val="00EA625A"/>
    <w:rsid w:val="00EA6401"/>
    <w:rsid w:val="00EA775F"/>
    <w:rsid w:val="00EB1D84"/>
    <w:rsid w:val="00EB1F00"/>
    <w:rsid w:val="00EB3397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93AEA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6533-0B74-4FB2-8B1E-A4579EF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5130</Words>
  <Characters>30786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35845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10</cp:revision>
  <cp:lastPrinted>2019-12-11T13:33:00Z</cp:lastPrinted>
  <dcterms:created xsi:type="dcterms:W3CDTF">2020-01-21T11:52:00Z</dcterms:created>
  <dcterms:modified xsi:type="dcterms:W3CDTF">2020-01-22T11:59:00Z</dcterms:modified>
</cp:coreProperties>
</file>